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E5C0" w14:textId="00044CED" w:rsidR="002E16A9" w:rsidRDefault="008F59EE" w:rsidP="008F59E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Утверждено</w:t>
      </w:r>
    </w:p>
    <w:p w14:paraId="5388A916" w14:textId="77777777" w:rsidR="00572E22" w:rsidRDefault="00572E22" w:rsidP="008F59E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Общим собранием членов</w:t>
      </w:r>
    </w:p>
    <w:p w14:paraId="05CE3148" w14:textId="0BFF1300" w:rsidR="008F59EE" w:rsidRDefault="008F59EE" w:rsidP="008F59E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Ассоциации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белорусских банков</w:t>
      </w:r>
    </w:p>
    <w:p w14:paraId="04C758E8" w14:textId="43CFA99C" w:rsidR="008F59EE" w:rsidRDefault="008F59EE" w:rsidP="008F59EE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E35DF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E35DF">
        <w:rPr>
          <w:rFonts w:ascii="Times New Roman" w:hAnsi="Times New Roman" w:cs="Times New Roman"/>
          <w:sz w:val="28"/>
          <w:szCs w:val="28"/>
          <w:lang w:val="ru-RU"/>
        </w:rPr>
        <w:t>июня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2025 г.</w:t>
      </w:r>
    </w:p>
    <w:p w14:paraId="0B7A8ED3" w14:textId="77777777" w:rsidR="008F59EE" w:rsidRDefault="008F59EE" w:rsidP="008F59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9F384FE" w14:textId="77777777" w:rsidR="00F83F44" w:rsidRDefault="00F83F44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EF5DB96" w14:textId="77777777" w:rsidR="00F83F44" w:rsidRDefault="00F83F44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EA8A853" w14:textId="77777777" w:rsidR="00F83F44" w:rsidRDefault="00F83F44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102E216" w14:textId="77777777" w:rsidR="00F83F44" w:rsidRDefault="00F83F44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EFEE78E" w14:textId="77777777" w:rsidR="00F83F44" w:rsidRDefault="00F83F44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E784AE1" w14:textId="56A83B7C" w:rsidR="008F59EE" w:rsidRPr="00F83F44" w:rsidRDefault="008F59EE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83F44">
        <w:rPr>
          <w:rFonts w:ascii="Times New Roman" w:hAnsi="Times New Roman" w:cs="Times New Roman"/>
          <w:b/>
          <w:bCs/>
          <w:sz w:val="40"/>
          <w:szCs w:val="40"/>
          <w:lang w:val="ru-RU"/>
        </w:rPr>
        <w:t>КОНЦЕПЦИЯ</w:t>
      </w:r>
    </w:p>
    <w:p w14:paraId="5299B700" w14:textId="77777777" w:rsidR="00F83F44" w:rsidRDefault="00F83F44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14:paraId="3D616D89" w14:textId="04620D44" w:rsidR="008F59EE" w:rsidRPr="00F83F44" w:rsidRDefault="008F59EE" w:rsidP="008F59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83F44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развития Ассоциации белорусских банков </w:t>
      </w:r>
      <w:r w:rsidRPr="00F83F44">
        <w:rPr>
          <w:rFonts w:ascii="Times New Roman" w:hAnsi="Times New Roman" w:cs="Times New Roman"/>
          <w:b/>
          <w:bCs/>
          <w:sz w:val="36"/>
          <w:szCs w:val="36"/>
          <w:lang w:val="ru-RU"/>
        </w:rPr>
        <w:br/>
        <w:t>на 2025–202</w:t>
      </w:r>
      <w:r w:rsidR="000D5D26">
        <w:rPr>
          <w:rFonts w:ascii="Times New Roman" w:hAnsi="Times New Roman" w:cs="Times New Roman"/>
          <w:b/>
          <w:bCs/>
          <w:sz w:val="36"/>
          <w:szCs w:val="36"/>
          <w:lang w:val="ru-RU"/>
        </w:rPr>
        <w:t>9</w:t>
      </w:r>
      <w:r w:rsidRPr="00F83F44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годы</w:t>
      </w:r>
    </w:p>
    <w:p w14:paraId="5E2612E2" w14:textId="77777777" w:rsidR="008F59EE" w:rsidRDefault="008F59EE" w:rsidP="008F59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24D4C05" w14:textId="072AF612" w:rsidR="008F59EE" w:rsidRDefault="008F59E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594BF5FB" w14:textId="239F20EE" w:rsidR="008F59EE" w:rsidRPr="003F7366" w:rsidRDefault="00312DB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ЦЕЛИ РАЗРАБОТКИ КОНЦЕПЦИИ</w:t>
      </w:r>
    </w:p>
    <w:p w14:paraId="27D89C64" w14:textId="77777777" w:rsidR="00AD76E7" w:rsidRPr="003F7366" w:rsidRDefault="00AD76E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AE50AC" w14:textId="0A66A623" w:rsidR="00761EF7" w:rsidRPr="003F7366" w:rsidRDefault="00761EF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Концепция развития Ассоциации белорусских банков </w:t>
      </w:r>
      <w:r w:rsidR="0014290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(далее – </w:t>
      </w:r>
      <w:r w:rsidR="00903FC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14290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ссоциация)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2025–202</w:t>
      </w:r>
      <w:r w:rsidR="000D5D2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гг. (далее – Концепция) продолжает и развивает ежегодные Планы мероприятий Ассоциации. Вместе с тем</w:t>
      </w:r>
      <w:r w:rsidR="009B1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она учитывает изменившиеся условия ведения банковского бизнеса в Беларуси под влиянием санкций, а также 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миров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 банковские тренды, требующие:</w:t>
      </w:r>
    </w:p>
    <w:p w14:paraId="459AEB72" w14:textId="3FE2274A" w:rsidR="00761EF7" w:rsidRPr="003F7366" w:rsidRDefault="00761EF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адаптации банков к созданию национальной цифровой инфраструктуры согласно Стратегии цифрового развития Республики Беларусь на 2026</w:t>
      </w:r>
      <w:r w:rsidR="009B15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–2030 годы</w:t>
      </w:r>
      <w:r w:rsidR="008C5A8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F8A2241" w14:textId="251351EC" w:rsidR="008C5A8B" w:rsidRPr="003F7366" w:rsidRDefault="008C5A8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перехода в международных расчетах с дружественными государствами на национальные валюты с их автоматической конвертацией банками;</w:t>
      </w:r>
    </w:p>
    <w:p w14:paraId="32B5F69C" w14:textId="1053A254" w:rsidR="008C5A8B" w:rsidRPr="003F7366" w:rsidRDefault="008C5A8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внедрения инновационных решений при переходе от банковских карточек к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новым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цифровым платежным инструментам и адаптации к намечаемому внедрению цифровых валют центральных банков;</w:t>
      </w:r>
    </w:p>
    <w:p w14:paraId="60766F83" w14:textId="512B9A4A" w:rsidR="008C5A8B" w:rsidRPr="003F7366" w:rsidRDefault="008C5A8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применения систем искусственного интеллекта для клиентской поддержки, банковских чат-ботов, прогнозной аналитики, риск-менеджмента, 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качестве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инвестиционных советников;</w:t>
      </w:r>
    </w:p>
    <w:p w14:paraId="4E86AFB4" w14:textId="3BC5438D" w:rsidR="008C5A8B" w:rsidRPr="003F7366" w:rsidRDefault="008C5A8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адаптации банков к </w:t>
      </w:r>
      <w:r w:rsidR="000C46F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ому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цифровому контролю и надзору (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SupTech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и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появлению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 п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равов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 р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ежима для внедрения банковских инноваций;</w:t>
      </w:r>
    </w:p>
    <w:p w14:paraId="39C7F828" w14:textId="6A857D5A" w:rsidR="008C5A8B" w:rsidRPr="003F7366" w:rsidRDefault="008C5A8B" w:rsidP="00E96D4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повышения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киберустойчивости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банков и усилени</w:t>
      </w:r>
      <w:r w:rsidR="00BF38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борьбы с социальной инженерией банковского мошенничества.</w:t>
      </w:r>
    </w:p>
    <w:p w14:paraId="7C7A2B0A" w14:textId="77204EAD" w:rsidR="008C5A8B" w:rsidRPr="003F7366" w:rsidRDefault="00595F6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Законодательная и нормативная база функционирования белорусских банков в основном 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E61F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соответствует международным нормам. В то же время</w:t>
      </w:r>
      <w:r w:rsidR="00BF38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BE61F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290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идущая цифровая революция 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формирует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новое 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цифровое право и </w:t>
      </w:r>
      <w:r w:rsidR="0014290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требует существенной модернизации правового регулирования 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цифровизации </w:t>
      </w:r>
      <w:r w:rsidR="0014290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банков, к которому должна быть готова Ассоциация, представляющая их интересы.</w:t>
      </w:r>
      <w:r w:rsidR="000C46F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Обратная сторона цифровизации – кибербезопасность и новые операционные риски, что создает еще одно актуальное обширное поле деятельности Ассоциации.</w:t>
      </w:r>
    </w:p>
    <w:p w14:paraId="5AA490C3" w14:textId="007F1001" w:rsidR="00142900" w:rsidRPr="003F7366" w:rsidRDefault="00A53FE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Кроме того, санкции и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биполяризация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мира требуют большей интеграции белорусской банковской системы в региональные объединения: Союзное государство, ЕАЭС, ШОС, БРИКС, что также ставит новые задачи перед 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ссоциацией по налаживанию теснейшего сотрудничества с банковскими сообществами стран, входящих в эти объединения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их банками развития и </w:t>
      </w:r>
      <w:r w:rsidR="0033621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531C4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анковскими советами объединений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33621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Существующие п</w:t>
      </w:r>
      <w:r w:rsidR="0033621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роблемы с открытием корреспондентских счетов и осуществлением внешнеторговых расчетов также требуют расширения международных контактов Ассоциации, ее участия в переговорах с центральными банками и банковскими объединениями дружественных стран.</w:t>
      </w:r>
    </w:p>
    <w:p w14:paraId="525843C8" w14:textId="2948B9F0" w:rsidR="00A53FE5" w:rsidRPr="003F7366" w:rsidRDefault="00F86C5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это диктует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актуализацию базовых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деятельности Ассоциации, которые будут детализированы в Концепции. Реализация Концепции должна помочь конкурентному позиционированию банков в региональных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объединениях, в которые входит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или является партнером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Республика Беларусь, а также обеспечению устойчивого и эффективного функционирования белорусской банковской системы.</w:t>
      </w:r>
    </w:p>
    <w:p w14:paraId="1EA0986C" w14:textId="4A654D39" w:rsidR="00F86C5B" w:rsidRPr="003F7366" w:rsidRDefault="00D25CD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разработке Концепции учитывались, во-первых, предложения банков и, во-вторых, следующие программные документы:</w:t>
      </w:r>
    </w:p>
    <w:p w14:paraId="44DDBCE1" w14:textId="7BDF5092" w:rsidR="00D25CD6" w:rsidRPr="003F7366" w:rsidRDefault="00D25CD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Стратегия цифрового развития Республики Беларусь на 2026–2030 годы (проект);</w:t>
      </w:r>
    </w:p>
    <w:p w14:paraId="7206E671" w14:textId="0D14CAA6" w:rsidR="00D25CD6" w:rsidRPr="003F7366" w:rsidRDefault="00D25CD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Основные направления денежно-кредитной политики на 2025 год;</w:t>
      </w:r>
    </w:p>
    <w:p w14:paraId="71AF0271" w14:textId="43CCADF9" w:rsidR="00241B14" w:rsidRPr="003F7366" w:rsidRDefault="00241B1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Национальная стратегия устойчивого развития Республики Беларусь до 2035 года;</w:t>
      </w:r>
    </w:p>
    <w:p w14:paraId="5A07044B" w14:textId="6CDCFFCC" w:rsidR="00D25CD6" w:rsidRPr="003F7366" w:rsidRDefault="00D25CD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развития платежного рынка РБ и цифровизации банковского сектора на 2023–2025 годы;</w:t>
      </w:r>
    </w:p>
    <w:p w14:paraId="3729F06A" w14:textId="43566678" w:rsidR="00D25CD6" w:rsidRPr="003F7366" w:rsidRDefault="00D25CD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цифрового белорусского рубля;</w:t>
      </w:r>
    </w:p>
    <w:p w14:paraId="3B95D3E2" w14:textId="6057EDD2" w:rsidR="00CD7BE8" w:rsidRPr="003F7366" w:rsidRDefault="00CD7BE8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формирования и использования цифровых документов;</w:t>
      </w:r>
    </w:p>
    <w:p w14:paraId="734AC0C6" w14:textId="5118B592" w:rsidR="00CD7BE8" w:rsidRPr="003F7366" w:rsidRDefault="00CD7BE8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развития открытых банковских интерфейсов;</w:t>
      </w:r>
    </w:p>
    <w:p w14:paraId="48C2C5A3" w14:textId="532456BD" w:rsidR="00D25CD6" w:rsidRPr="003F7366" w:rsidRDefault="00D25CD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обеспечения кибербезопасности в банковской сфере,</w:t>
      </w:r>
    </w:p>
    <w:p w14:paraId="7BA9B75E" w14:textId="77777777" w:rsidR="00F9385B" w:rsidRPr="003F7366" w:rsidRDefault="00D25CD6" w:rsidP="00BF38CB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также </w:t>
      </w:r>
      <w:r w:rsidR="00AC723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многочисленные документы Союзного государства, ЕАЭС, ШОС, БРИКС, касающиеся монетарной и банковской </w:t>
      </w:r>
      <w:r w:rsidR="00CD7BE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систем. </w:t>
      </w:r>
    </w:p>
    <w:p w14:paraId="5E9654A6" w14:textId="2595B767" w:rsidR="00D25CD6" w:rsidRPr="003F7366" w:rsidRDefault="00C8561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Учитывались также новые документы Банка России:</w:t>
      </w:r>
    </w:p>
    <w:p w14:paraId="35F8F952" w14:textId="557D797A" w:rsidR="00C85612" w:rsidRPr="003F7366" w:rsidRDefault="00C8561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Основные направления развития финансовых технологий на 2025–2027 годы;</w:t>
      </w:r>
    </w:p>
    <w:p w14:paraId="1D10B407" w14:textId="6ABEAE7A" w:rsidR="00C85612" w:rsidRPr="003F7366" w:rsidRDefault="00C8561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внедрения открытых API на финансовом рынке;</w:t>
      </w:r>
    </w:p>
    <w:p w14:paraId="7E332A96" w14:textId="2AA00AF4" w:rsidR="00C85612" w:rsidRPr="003F7366" w:rsidRDefault="00C8561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Концепция цифрового рубля;</w:t>
      </w:r>
    </w:p>
    <w:p w14:paraId="644939D7" w14:textId="417A00F1" w:rsidR="00C85612" w:rsidRPr="003F7366" w:rsidRDefault="00C8561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сновные направления развития технологий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SupTech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RegTech</w:t>
      </w:r>
      <w:proofErr w:type="spellEnd"/>
      <w:r w:rsidR="0033621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т.д.</w:t>
      </w:r>
    </w:p>
    <w:p w14:paraId="5EB060C8" w14:textId="0CD3B9B0" w:rsidR="00C85612" w:rsidRPr="003F7366" w:rsidRDefault="00771DA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Эти документы</w:t>
      </w:r>
      <w:r w:rsidR="00C8561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рамках 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унификации нормативного регулирования </w:t>
      </w:r>
      <w:r w:rsidR="00C8561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Союзного государства окажут влияние на действия Национального банка.</w:t>
      </w:r>
    </w:p>
    <w:p w14:paraId="146AEE5C" w14:textId="77777777" w:rsidR="00D7045F" w:rsidRPr="003F7366" w:rsidRDefault="00D7045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EB8D9F" w14:textId="6546E928" w:rsidR="00C85612" w:rsidRPr="003F7366" w:rsidRDefault="00B856B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КРАТКАЯ ИСТОРИЯ АССОЦИАЦИИ </w:t>
      </w:r>
    </w:p>
    <w:p w14:paraId="6C6B8409" w14:textId="77777777" w:rsidR="00D7045F" w:rsidRPr="003F7366" w:rsidRDefault="00D7045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A5E72BC" w14:textId="0D475230" w:rsidR="00F83F44" w:rsidRPr="003F7366" w:rsidRDefault="00A14EB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коммерческих банков (в 1995 г. переименована в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ссоциацию белорусских банков) была 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первоначально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образована 1 ноября 1990 г. шестью банками: Белорусский инновационный банк,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Микобанк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Беларусбанк, Двина,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Бресткомбанк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Гродненский банк «Комплекс»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но уже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1994 г. в Ассоциацию входили 47 банков.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дальнейшем к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онсолидация банковского капитала привела к стабилизации числа банков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настоящее время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2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действующих в республике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банк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входят в Ассоциацию,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того</w:t>
      </w:r>
      <w:r w:rsidR="00BF38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ее членами являются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F0176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организаций, чья деятельность 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непосредственно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связана с функционированием денежно-кредитной системы – крупнейшие IT-компании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разработчики банковского ПО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аудиторские организации, организации, оказывающие платежные услуги и т.д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02951E1" w14:textId="77337CCA" w:rsidR="00B40400" w:rsidRPr="003F7366" w:rsidRDefault="00A14EB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середине 90-х годов Ассоциация учредила собственный</w:t>
      </w:r>
      <w:r w:rsidR="00BF38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сначала ежене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ельн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затем ежемесячн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журнал 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Вестник Ассоциации белорусских 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банков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также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чебный центр (оба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настоящее время 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входят в дочернюю организацию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5786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ссоциации – «Банковское дело»). </w:t>
      </w:r>
    </w:p>
    <w:p w14:paraId="257ADDCF" w14:textId="77777777" w:rsidR="00B40400" w:rsidRPr="003F7366" w:rsidRDefault="0065786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90-е годы Ассоциация реализовала с Франкфуртской банковской академией крупный международный проект по обучению белорусских банкиров европейским технологиям банковского дела и создала в рамках этого проекта первую в Беларуси 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магистратуру «Банковское дело» в БГЭУ. </w:t>
      </w:r>
    </w:p>
    <w:p w14:paraId="17CB11D2" w14:textId="3FAA72FF" w:rsidR="00FE3C4A" w:rsidRPr="003F7366" w:rsidRDefault="00D404E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90-х годов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ссоциаци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приняла активное участие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работе над проектом 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Банковск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Беларусь и подготов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ила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после его принятия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единственны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й </w:t>
      </w:r>
      <w:r w:rsidR="00771DA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настоящего времени </w:t>
      </w:r>
      <w:r w:rsidR="00FE3C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двухтомный Комментарий к нему. </w:t>
      </w:r>
    </w:p>
    <w:p w14:paraId="6459BB02" w14:textId="78A1A983" w:rsidR="00A14EB5" w:rsidRPr="003F7366" w:rsidRDefault="00FE3C4A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начале 2000-х годов Ассоциация создала интернет-сайт, который в 2013 г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оду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завоевал премию среди банковских сайтов.</w:t>
      </w:r>
    </w:p>
    <w:p w14:paraId="713CD86A" w14:textId="3BFA9190" w:rsidR="00FE3C4A" w:rsidRPr="003F7366" w:rsidRDefault="00FE3C4A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период 2004–2010 гг. Ассоциация установила и с тех пор поддерживает тесные контакты с ассоциациями стран СНГ и рядом международных ассоциаций. В этот период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 ныне традиционный форум «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Банкит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F241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организовано участие банков в выставках и конгрессах «ТИБО».</w:t>
      </w:r>
    </w:p>
    <w:p w14:paraId="39954C36" w14:textId="74AD41EE" w:rsidR="00F24177" w:rsidRPr="003F7366" w:rsidRDefault="00870A7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241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2005 г. по распоряжению Главы государства проекты всех нормативно-правовых актов, регулирующих деятельность банков, направляются на рассмотрение в Ассоциацию.</w:t>
      </w:r>
    </w:p>
    <w:p w14:paraId="7B7C872D" w14:textId="71B338B3" w:rsidR="00F24177" w:rsidRPr="003F7366" w:rsidRDefault="00F2417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2006 г. разработан Кодекс профессиональной банковской этики и учрежден нагрудный знак Ассоциации «За весомый вклад в развити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банковской системы».</w:t>
      </w:r>
    </w:p>
    <w:p w14:paraId="64B1955C" w14:textId="0393253D" w:rsidR="00F24177" w:rsidRPr="003F7366" w:rsidRDefault="00F2417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2006 г. налажено тесное социальное партнерство и проведение совместных мероприятий с Отраслевым профсоюзом банковских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финансовых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работников, в частности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популярный ежегодный фестиваль художественной самодеятельности работников банков.</w:t>
      </w:r>
    </w:p>
    <w:p w14:paraId="762C808B" w14:textId="5CC50A1A" w:rsidR="00F24177" w:rsidRPr="003F7366" w:rsidRDefault="00F2417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период 2007–2020 гг. Ассоциация провела ряд международных конференций и форумов совместно с Ассоциацией банков стран Центральной и Восточной Европы.</w:t>
      </w:r>
    </w:p>
    <w:p w14:paraId="2991336F" w14:textId="300BC77B" w:rsidR="00743806" w:rsidRPr="003F7366" w:rsidRDefault="0074380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2010 г. при Ассоциации создан Совет ветеранов банковской системы, который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регулярно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организует мероприятия для банковских пенсионеров.</w:t>
      </w:r>
    </w:p>
    <w:p w14:paraId="1B596B5D" w14:textId="6B3F53A3" w:rsidR="00743806" w:rsidRPr="003F7366" w:rsidRDefault="0074380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2011 г. Ассоциация много внимания уделяет повышению финансовой грамотности населения – это и </w:t>
      </w:r>
      <w:r w:rsidR="003F2B8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обучение учителей, и разработка пособий, и производство социальной рекламы для населения, 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ежегодная совместная с БГУ Олимпиада школьников по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цифровой 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финансовой грамотности, и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конкурс</w:t>
      </w:r>
      <w:r w:rsidR="003F2B8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«Финансовый футбол» с VISA и «Юный финансист» для детей сотрудников банков, и конкурс</w:t>
      </w:r>
      <w:r w:rsidR="003F2B8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журналистов за финансовую грамотность.</w:t>
      </w:r>
    </w:p>
    <w:p w14:paraId="5E066356" w14:textId="466BFCE9" w:rsidR="00743806" w:rsidRPr="003F7366" w:rsidRDefault="006B3658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2012 г. при Ассоциации создан и функционирует Третейский суд.</w:t>
      </w:r>
    </w:p>
    <w:p w14:paraId="3689D0D7" w14:textId="0F7693A7" w:rsidR="006B3658" w:rsidRPr="003F7366" w:rsidRDefault="006B3658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2014 г. при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ссоциации успешно действует Клуб независимых директоров, а с 202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г. и Клуб корпоративных секретарей.</w:t>
      </w:r>
    </w:p>
    <w:p w14:paraId="565A7F30" w14:textId="074B2BFB" w:rsidR="00440F33" w:rsidRPr="003F7366" w:rsidRDefault="00440F33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Совместно с Нацбанком ежегодно проводятся учебные семинары по повышению эффективности корпоративного управления банками.</w:t>
      </w:r>
    </w:p>
    <w:p w14:paraId="40A9A83B" w14:textId="17107B8E" w:rsidR="00440F33" w:rsidRPr="003F7366" w:rsidRDefault="00440F33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 2015 г. проводятся регулярные совместные расширенн</w:t>
      </w:r>
      <w:r w:rsidR="00B36B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заседания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постоянных комиссий законодательных органов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участием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Ассоциаци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Председатель Ассоциации регулярно принимает участие в работе Экспертного Совета при Совете Республики.</w:t>
      </w:r>
    </w:p>
    <w:p w14:paraId="01ECABCF" w14:textId="37E2B11A" w:rsidR="00440F33" w:rsidRPr="003F7366" w:rsidRDefault="00970406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2016 г. проводятся ежегодные межбанковские конкурсы «Мисс-фото»</w:t>
      </w:r>
      <w:r w:rsidR="0012455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сотрудниц банков.</w:t>
      </w:r>
    </w:p>
    <w:p w14:paraId="37D26DF8" w14:textId="4E5F458A" w:rsidR="00F211AF" w:rsidRPr="003F7366" w:rsidRDefault="00F211A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2023 г. Ассоциация совместно с ООО «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Юрспектр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регулярно проводит практические конференции по актуальным вопросам регулирования банковской сферы</w:t>
      </w:r>
      <w:r w:rsidR="00B010F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="00B010FB" w:rsidRPr="003F7366">
        <w:rPr>
          <w:rFonts w:ascii="Times New Roman" w:eastAsia="Times New Roman" w:hAnsi="Times New Roman" w:cs="Times New Roman"/>
          <w:sz w:val="28"/>
          <w:szCs w:val="28"/>
          <w:lang w:eastAsia="ru-RU"/>
        </w:rPr>
        <w:t>BankLex</w:t>
      </w:r>
      <w:proofErr w:type="spellEnd"/>
      <w:r w:rsidR="00B010F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90BEB44" w14:textId="77B5BB72" w:rsidR="00124554" w:rsidRPr="003F7366" w:rsidRDefault="0012455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Совместно с порталом Myfin.by и Агентством событийного маркетинга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Guardo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ежегодно проводится премия «Банк года».</w:t>
      </w:r>
    </w:p>
    <w:p w14:paraId="17AD2D38" w14:textId="33A6D743" w:rsidR="00124554" w:rsidRPr="003F7366" w:rsidRDefault="0012455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Главное институциональное </w:t>
      </w:r>
      <w:r w:rsidR="00C310A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достижен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ие Ассоциации – это создание, становление и функционирование около </w:t>
      </w:r>
      <w:r w:rsidR="00870A7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комитетов, рабочих групп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клубов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различным направлениям банковской деятельности (налоги, корпоративное управление, риски, </w:t>
      </w:r>
      <w:r w:rsidR="0049651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комплаенс, по информационным технологиям, кибербезопасность, защита персональных данных,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ESG</w:t>
      </w:r>
      <w:r w:rsidR="0049651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бухгалтерский учет и отчетность, МСФО, взаимодействие с потребителями банковских услуг и т.д.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которые стали главным элементом </w:t>
      </w:r>
      <w:r w:rsidR="00B010F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оциации в выработке и отстаивании консолидированной позиции банковского сообщества.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201A8" w:rsidRP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 активно работает последние годы созданная совместно с Ассоциацией «Инфопарк» </w:t>
      </w:r>
      <w:r w:rsid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рабочая группа </w:t>
      </w:r>
      <w:r w:rsidR="00683054" w:rsidRPr="00683054">
        <w:rPr>
          <w:rFonts w:ascii="Times New Roman" w:hAnsi="Times New Roman"/>
          <w:sz w:val="28"/>
          <w:szCs w:val="28"/>
          <w:lang w:val="ru-RU"/>
        </w:rPr>
        <w:t>по координации действий и совершенствованию сотрудничества в области информационной безопасности организаций кредитно-финансовой сферы</w:t>
      </w:r>
      <w:r w:rsidR="00683054">
        <w:rPr>
          <w:rFonts w:ascii="Times New Roman" w:hAnsi="Times New Roman"/>
          <w:sz w:val="28"/>
          <w:szCs w:val="28"/>
          <w:lang w:val="ru-RU"/>
        </w:rPr>
        <w:t>.</w:t>
      </w:r>
      <w:r w:rsidR="00683054" w:rsidRP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201A8" w:rsidRP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2023 года в Ассоциации </w:t>
      </w:r>
      <w:r w:rsid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успешно функционирует Комитет по защите персональных данных, оказывая банкам методологическую поддержку и являясь площадкой для обмена опытом. Представители Ассоциации включены в состав Консультативного совета при Национальном центре защиты персональных данных.</w:t>
      </w:r>
    </w:p>
    <w:p w14:paraId="1A281B67" w14:textId="2366CDA1" w:rsidR="009201A8" w:rsidRPr="003F7366" w:rsidRDefault="009201A8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2023 году совместными усилиями банков при консолидирующей роли Ассоциации создан Единый перечень признаков платежности банкнот иностранной валюты (размещен на сайте Ассоциации) и подписано Соглашение о работе с ними.</w:t>
      </w:r>
    </w:p>
    <w:p w14:paraId="0519DBA1" w14:textId="3F085287" w:rsidR="00124554" w:rsidRPr="003F7366" w:rsidRDefault="0012455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Можно суммировать – за 35 лет </w:t>
      </w:r>
      <w:r w:rsidR="009201A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ссоциации удалось объединить усилия банков для защиты их интересов в государственных органах, в первую очередь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Национальном банке, участвовать в создании и корректировках Банковского кодекса и десятков важнейших </w:t>
      </w:r>
      <w:r w:rsidR="008A2DF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законов и других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правовых актов, регулирующих банковскую деятельность.</w:t>
      </w:r>
    </w:p>
    <w:p w14:paraId="2B857109" w14:textId="29E8105C" w:rsidR="00124554" w:rsidRPr="003F7366" w:rsidRDefault="00DD578B" w:rsidP="00B856B9">
      <w:pPr>
        <w:spacing w:before="480" w:after="24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7366">
        <w:rPr>
          <w:rFonts w:ascii="Times New Roman" w:hAnsi="Times New Roman" w:cs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B856B9" w:rsidRPr="003F7366">
        <w:rPr>
          <w:rFonts w:ascii="Times New Roman" w:hAnsi="Times New Roman" w:cs="Times New Roman"/>
          <w:b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ИССИЯ, ЦЕЛИ И ЗАДАЧИ АССОЦИАЦИИ </w:t>
      </w:r>
    </w:p>
    <w:p w14:paraId="35C62812" w14:textId="513CF05A" w:rsidR="008A1A8F" w:rsidRPr="003F7366" w:rsidRDefault="000723CA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Основная м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иссия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ссоциации – </w:t>
      </w:r>
      <w:r w:rsidR="000D5D2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содействие развитию и эффективному функционированию белорусской денежно-кредитной системы в интересах государства и общества</w:t>
      </w:r>
      <w:r w:rsidR="004458F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посредством вы</w:t>
      </w:r>
      <w:r w:rsidR="003F2B8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работк</w:t>
      </w:r>
      <w:r w:rsidR="004458F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3F2B8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11730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аргументации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консолидированной 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позиции банков в диалоге с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органами государственной 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власт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 управления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8A1A8F" w:rsidRPr="003F7366">
        <w:rPr>
          <w:rFonts w:ascii="Times New Roman" w:hAnsi="Times New Roman" w:cs="Times New Roman"/>
          <w:sz w:val="28"/>
          <w:szCs w:val="28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обществом и бизнесом, </w:t>
      </w:r>
      <w:r w:rsidR="00E96D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повышение социальной ответственности банков, </w:t>
      </w:r>
      <w:r w:rsidR="00E96D4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</w:t>
      </w:r>
      <w:r w:rsidR="00E96D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E96D4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позитивного имиджа банков,</w:t>
      </w:r>
      <w:r w:rsidR="00E96D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оказани</w:t>
      </w:r>
      <w:r w:rsidR="00E96D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всесторонней помощи </w:t>
      </w:r>
      <w:r w:rsidR="004458F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членам Ассоциации 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общим вопросам </w:t>
      </w:r>
      <w:r w:rsidR="0011730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 w:rsidR="008A1A8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деятельности.</w:t>
      </w:r>
    </w:p>
    <w:p w14:paraId="6E3C143E" w14:textId="2B068FC4" w:rsidR="00124554" w:rsidRPr="003F7366" w:rsidRDefault="008A1A8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Цели Ассоциации определены Уставом и состоят в следующем:</w:t>
      </w:r>
    </w:p>
    <w:p w14:paraId="11673F60" w14:textId="5B727DDE" w:rsidR="008A1A8F" w:rsidRPr="003F7366" w:rsidRDefault="008A1A8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представление и защита прав и законных интересов членов Ассоциации;</w:t>
      </w:r>
    </w:p>
    <w:p w14:paraId="451582A3" w14:textId="50FE3183" w:rsidR="008A1A8F" w:rsidRPr="003F7366" w:rsidRDefault="008A1A8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координация их деятельности и оказание помощи в повышении эффективности работы;</w:t>
      </w:r>
    </w:p>
    <w:p w14:paraId="18AE387B" w14:textId="04B8E505" w:rsidR="008A1A8F" w:rsidRPr="003F7366" w:rsidRDefault="008A1A8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содействие созданию условий для эффективного развития банковского дела в Республике Беларусь.</w:t>
      </w:r>
    </w:p>
    <w:p w14:paraId="1117B929" w14:textId="3725C57D" w:rsidR="008A1A8F" w:rsidRPr="003F7366" w:rsidRDefault="008A1A8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достижения своих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уставных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целей 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реализует 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 главных </w:t>
      </w:r>
      <w:r w:rsidR="000723CA"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укрупненных </w:t>
      </w:r>
      <w:r w:rsidR="005B0D14"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блоков 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</w:t>
      </w:r>
      <w:r w:rsidR="00BE0863"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14:paraId="5DBE1684" w14:textId="7B3419C0" w:rsidR="008A1A8F" w:rsidRPr="003F7366" w:rsidRDefault="008A1A8F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9E593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9E593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ыработка</w:t>
      </w:r>
      <w:r w:rsidR="000723C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продвижение </w:t>
      </w:r>
      <w:r w:rsidR="000723C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отстаивание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консолидированной позиции банков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ской системы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0723C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органах </w:t>
      </w:r>
      <w:r w:rsidR="000723C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целью улучшения условий ведения банковского бизнеса в интересах 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банков, потребителей банковских услуг и государства в целом.</w:t>
      </w:r>
      <w:r w:rsidR="000723C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1EF5320" w14:textId="77777777" w:rsidR="00DE5E0E" w:rsidRDefault="009E5935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2. </w:t>
      </w:r>
      <w:r w:rsidR="00DE5E0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в обществе доверительной среды и позитивного имиджа банковской системы.</w:t>
      </w:r>
    </w:p>
    <w:p w14:paraId="6ECC4736" w14:textId="0097074E" w:rsidR="00B16D1F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9E593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Содействие продвижению инноваций в банковскую деятельность. </w:t>
      </w:r>
    </w:p>
    <w:p w14:paraId="016776A2" w14:textId="43313F73" w:rsidR="00B16D1F" w:rsidRPr="003F7366" w:rsidRDefault="00DE5E0E" w:rsidP="00DA44DD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B16D1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 Содействие повышению уровня </w:t>
      </w:r>
      <w:r w:rsidR="000723C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компетенций </w:t>
      </w:r>
      <w:r w:rsidR="00B16D1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руководителей и специалистов банков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C179F17" w14:textId="098320E7" w:rsidR="00B16D1F" w:rsidRPr="003F7366" w:rsidRDefault="00DE5E0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B16D1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 Содействие развитию международных отношений белорусских банков. </w:t>
      </w:r>
    </w:p>
    <w:p w14:paraId="42D90E85" w14:textId="77777777" w:rsidR="005B2FC7" w:rsidRPr="003F7366" w:rsidRDefault="005B2FC7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313083" w14:textId="0F39C61C" w:rsidR="00B16D1F" w:rsidRPr="003F7366" w:rsidRDefault="00B16D1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Концепции по каждо</w:t>
      </w:r>
      <w:r w:rsidR="00E176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этих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 укрупненных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концептуально сформулир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ованы </w:t>
      </w:r>
      <w:r w:rsidR="00BE086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пути 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(механизмы)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реализации в 2025–202</w:t>
      </w:r>
      <w:r w:rsidR="005B2FC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годах.</w:t>
      </w:r>
    </w:p>
    <w:p w14:paraId="657F461D" w14:textId="108B60E3" w:rsidR="00B16D1F" w:rsidRPr="003F7366" w:rsidRDefault="00225CA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Задача 1. Выработка, продвижение и отстаивание консолидированной позиции банков в </w:t>
      </w:r>
      <w:r w:rsidR="004C05FA"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государственных 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органах с целью улучшения условий ведения банковского бизнеса в интересах общества и государства.</w:t>
      </w:r>
    </w:p>
    <w:p w14:paraId="31C334EC" w14:textId="77777777" w:rsidR="00F9385B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осуществляется путем:</w:t>
      </w:r>
    </w:p>
    <w:p w14:paraId="28D217AE" w14:textId="249A1BC0" w:rsidR="00F9385B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участия 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разработке государственных программ развития банковской системы, а также государственной денежно-кредитной политики;</w:t>
      </w:r>
    </w:p>
    <w:p w14:paraId="1EE32ECD" w14:textId="2A02DEBE" w:rsidR="00F9385B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принятия непосредственного участия в подготовке нормативных правовых актов, регулирующих банковскую деятельность, способствующих успешному развитию банковской системы, повышению ее стабильности и надежности;</w:t>
      </w:r>
    </w:p>
    <w:p w14:paraId="6A83760C" w14:textId="1AA33C05" w:rsidR="00DA44DD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налаживания делового взаимодействия с Национальным банком Республики Беларусь и другими государственными органами, участия в осуществлении совместных с ними мероприятий, направленных на выполнение уставных целей,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т.ч. 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путем инициативной разработки и направления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Национальный банк Республики Беларусь и другие государственные органы предложени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реализации государственной денежно-кредитной политики, регулированию банковской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деятельности, стабилизации денежного обращения, финансового и кредитного рынка и по совершенствованию налоговой политики;</w:t>
      </w:r>
    </w:p>
    <w:p w14:paraId="0C8737FB" w14:textId="3C6AD8BD" w:rsidR="00F9385B" w:rsidRPr="003F7366" w:rsidRDefault="00DA44DD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централизаци</w:t>
      </w:r>
      <w:r w:rsidR="00DD578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систематизаци</w:t>
      </w:r>
      <w:r w:rsidR="00DD578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ений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компетентные государственные органы за официальными разъяснениями по вопросам банковской деятельности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последующим доведением 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разъяснени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членов Ассоциации.</w:t>
      </w:r>
    </w:p>
    <w:p w14:paraId="5E3CA70F" w14:textId="46C22E5B" w:rsidR="007906C9" w:rsidRPr="003F7366" w:rsidRDefault="00CB4E41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Важными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актуальными 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вопросами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A30A7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перспективными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являются:</w:t>
      </w:r>
    </w:p>
    <w:p w14:paraId="279865FF" w14:textId="7DF411C5" w:rsidR="007906C9" w:rsidRPr="003F7366" w:rsidRDefault="00D7045F" w:rsidP="00D7045F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744AA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 Ассоциации </w:t>
      </w:r>
      <w:r w:rsidR="000B33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создании единой нормативной базы цифровой экономики в части, касающейся банков. </w:t>
      </w:r>
    </w:p>
    <w:p w14:paraId="292713E9" w14:textId="349D99A1" w:rsidR="007906C9" w:rsidRPr="003F7366" w:rsidRDefault="007906C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Национальный банк на постоянной основе 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 работу по совершенствованию правовой среды для развития цифровой среды и платежного рынка, в том числе по созданию правовых основ для введения и развития новых форм и видов деятельности. </w:t>
      </w:r>
      <w:r w:rsidR="00363C3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Ключевыми направлениями цифровой трансформация финансового рынка Республики Беларусь на ближайшие годы Национальный банк определил:</w:t>
      </w:r>
    </w:p>
    <w:p w14:paraId="349B61C0" w14:textId="730F8D20" w:rsidR="00363C32" w:rsidRPr="003F7366" w:rsidRDefault="00363C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развитие платежных инструментов и средств платежа;</w:t>
      </w:r>
    </w:p>
    <w:p w14:paraId="36A5F8D7" w14:textId="059CAEA3" w:rsidR="00363C32" w:rsidRPr="003F7366" w:rsidRDefault="00363C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внедрение цифрового белорусского рубля;</w:t>
      </w:r>
    </w:p>
    <w:p w14:paraId="14B95425" w14:textId="01800B66" w:rsidR="00363C32" w:rsidRPr="003F7366" w:rsidRDefault="00363C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91252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повышение доступности финансовых услуг посредством использования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открытых API;</w:t>
      </w:r>
    </w:p>
    <w:p w14:paraId="02320078" w14:textId="227F6EFB" w:rsidR="00363C32" w:rsidRPr="003F7366" w:rsidRDefault="00363C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91252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удаленной идентификации (использование биометрических данных);</w:t>
      </w:r>
    </w:p>
    <w:p w14:paraId="5518D8AE" w14:textId="65889894" w:rsidR="0091252C" w:rsidRPr="003F7366" w:rsidRDefault="0091252C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обеспечение информационной и кибербезопасности;</w:t>
      </w:r>
    </w:p>
    <w:p w14:paraId="44525A21" w14:textId="1F63B5ED" w:rsidR="0091252C" w:rsidRPr="003F7366" w:rsidRDefault="0091252C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техническое нормирование и стандартизация цифровых продуктов;</w:t>
      </w:r>
    </w:p>
    <w:p w14:paraId="150CC2D9" w14:textId="2E41B651" w:rsidR="00363C32" w:rsidRDefault="0091252C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построение технологического суверенитета в банковском секторе.</w:t>
      </w:r>
    </w:p>
    <w:p w14:paraId="79F1A284" w14:textId="3CB122DC" w:rsidR="004E78E0" w:rsidRPr="003F7366" w:rsidRDefault="00323D27" w:rsidP="00511EC0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Еще одним актуальным направлением цифрового развития Республики Беларусь является </w:t>
      </w:r>
      <w:r w:rsidR="000B4B9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</w:t>
      </w:r>
      <w:r w:rsidR="004E492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B4B9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возможности использования цифровых образов документов и сведений из государственных информационных ресурсов при решении гражданами жизненных ситуаций и совершении юридически значимых действий. Для </w:t>
      </w:r>
      <w:r w:rsidR="004E492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определения путей</w:t>
      </w:r>
      <w:r w:rsidR="0025730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практической реализации такой возможности </w:t>
      </w:r>
      <w:r w:rsidR="004E492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банковском секторе </w:t>
      </w:r>
      <w:r w:rsidR="0025730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конце 2024 года при Ассоциации сформирована рабочая группа </w:t>
      </w:r>
      <w:r w:rsidR="004E492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внедрению в банках «цифровых документов»</w:t>
      </w:r>
      <w:r w:rsidR="003E3E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активное функционирование которой будет продолжено.</w:t>
      </w:r>
    </w:p>
    <w:p w14:paraId="26AABA5D" w14:textId="190DA717" w:rsidR="004E4923" w:rsidRPr="003F7366" w:rsidRDefault="00A30A7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3E3E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Особое внимание Ассоциация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будет </w:t>
      </w:r>
      <w:r w:rsidR="003E3E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удел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ять</w:t>
      </w:r>
      <w:r w:rsidR="003E3E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06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повышению эффективности электронного взаимодействия банков с органами государственного управления в части возникающих вопросов 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 </w:t>
      </w:r>
      <w:r w:rsidR="00B06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обмене корреспонденцией, так и 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</w:t>
      </w:r>
      <w:r w:rsidR="00B06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одностороннем получени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B06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банками информации из государственных информационных ресурсов. В э</w:t>
      </w:r>
      <w:r w:rsidR="003E3E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той связи одним из ключевых направлений деятельности</w:t>
      </w:r>
      <w:r w:rsidR="00AB142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Ассоциации в последующие годы </w:t>
      </w:r>
      <w:r w:rsidR="003B6D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r w:rsidR="003E3EE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формирование единого подхода по обеспечению получения банками необходимых сведений из баз данных государственных органов и иных организаций.</w:t>
      </w:r>
    </w:p>
    <w:p w14:paraId="0EBDB800" w14:textId="19BE99A2" w:rsidR="00460106" w:rsidRPr="00AD468B" w:rsidRDefault="00A30A7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3</w:t>
      </w:r>
      <w:r w:rsidR="0046010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Одним из важнейших фокусов внимания Ассоциации является с</w:t>
      </w:r>
      <w:r w:rsidR="0046010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овершенствование законодательства </w:t>
      </w:r>
      <w:r w:rsidR="00460106" w:rsidRP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борьбе с киберпреступностью</w:t>
      </w:r>
      <w:r w:rsid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выработка механизмов противодействия кибермошенничеству</w:t>
      </w:r>
      <w:r w:rsidR="00460106" w:rsidRPr="006830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E78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F7026D5" w14:textId="06BCE702" w:rsidR="00A25931" w:rsidRPr="003F7366" w:rsidRDefault="00A30A7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Содействие 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безболезненному 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переходу 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белорусской 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банковской системы на МСФО.</w:t>
      </w:r>
    </w:p>
    <w:p w14:paraId="7D5C1D26" w14:textId="6ABE4916" w:rsidR="00460106" w:rsidRPr="003F7366" w:rsidRDefault="00A30A7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6010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  <w:r w:rsidR="00574A8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Активизация работы</w:t>
      </w:r>
      <w:r w:rsidR="0046010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совместной с Госкомитетом по имуществу Республики Беларусь и Ассоциац</w:t>
      </w:r>
      <w:r w:rsidR="00FB66D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ией оценочных организаций </w:t>
      </w:r>
      <w:r w:rsidR="0046010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рабочей группы по совершенствованию </w:t>
      </w:r>
      <w:r w:rsidR="00FB66D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оценочного законодательства в части оценки и ликвидности залогового имущества.</w:t>
      </w:r>
    </w:p>
    <w:p w14:paraId="326851EF" w14:textId="1CCB05E4" w:rsidR="00BC5FC2" w:rsidRPr="003F7366" w:rsidRDefault="00A30A7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BC5FC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1478A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Выработка единой правоприменительной практики для банковского сектора в сфере защиты персональных данных. </w:t>
      </w:r>
    </w:p>
    <w:p w14:paraId="7835B933" w14:textId="5E262058" w:rsidR="001478AE" w:rsidRPr="003F7366" w:rsidRDefault="001478A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2021 г. вступил в силу Закон «О защите персональных данных», принятие которого сформировало новый правовой институт. Введение Закона потребовало от банков реализации мероприятий по изменению процессов в практической деятельности, направленных на сохранение банковской тайны, с учетом требований, установленных впервые принятым в Республике Беларусь законодательным актом о защите персональных данных.</w:t>
      </w:r>
    </w:p>
    <w:p w14:paraId="77B3C36E" w14:textId="1D1B7840" w:rsidR="001478AE" w:rsidRPr="003F7366" w:rsidRDefault="001478A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протяжении нескольких лет банковское сообщество формировало практику и вырабатывало подходы в отношении обработки персональных данных.  Вместе с тем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настоящее время продолжают сохраняться вопросы, оказывающие существенное влияние на деятельность банков и требующие от Ассоциации активного взаимодействия с Национальным центром защиты персональных данных. </w:t>
      </w:r>
    </w:p>
    <w:p w14:paraId="6A6DA272" w14:textId="2C167362" w:rsidR="00387D64" w:rsidRPr="003F7366" w:rsidRDefault="00A30A7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E83E4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335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7F4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Ассоциации в реализаци</w:t>
      </w:r>
      <w:r w:rsidR="00042A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1C7F4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социальных задач, поставленных перед банковски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1C7F4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сообществом.</w:t>
      </w:r>
    </w:p>
    <w:p w14:paraId="38C28699" w14:textId="419B9401" w:rsidR="00042A77" w:rsidRPr="003F7366" w:rsidRDefault="005A16F1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Многие годы а</w:t>
      </w:r>
      <w:r w:rsidR="001C7F4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ктуальным вопросом, находящимся на контроле у Главы Государства, </w:t>
      </w:r>
      <w:r w:rsidR="00042A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является обеспечени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42A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доступности снятия наличных денежных средств со счетов при использовании банковских платежных карточек, в том числе в сельской местности. </w:t>
      </w:r>
    </w:p>
    <w:p w14:paraId="2237A8DB" w14:textId="5D17DB7E" w:rsidR="00042A77" w:rsidRPr="003F7366" w:rsidRDefault="005A16F1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данного направления </w:t>
      </w:r>
      <w:r w:rsidR="00042A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ежеквартально формирует сводные данные об объектах программно-технической инфраструктуры банков, в которых возможно получение наличных денежных средств при использовании карточек, и представляет их в адрес Национального банка.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того,</w:t>
      </w:r>
      <w:r w:rsidR="00042A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Ассоциация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назначена</w:t>
      </w:r>
      <w:r w:rsidR="00042A7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ответственным исполнителем ряда мероприятий плана действий по подключению организаций торговли (сервиса), расположенных в сельской местности, к услуге по выдаче наличных денежных средств держателям банковских платежных карточек на 2024 – 2026 годы.</w:t>
      </w:r>
    </w:p>
    <w:p w14:paraId="47E62D4F" w14:textId="77777777" w:rsidR="00A31572" w:rsidRPr="003F7366" w:rsidRDefault="009B12D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Важным вектором</w:t>
      </w:r>
      <w:r w:rsidR="001863C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государственной</w:t>
      </w:r>
      <w:r w:rsidR="005A16F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социально</w:t>
      </w:r>
      <w:r w:rsidR="001863C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5A16F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863C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политики является обеспечение доступной среды жизнедеятельности инвалидов и физически ослабленных лиц. </w:t>
      </w:r>
    </w:p>
    <w:p w14:paraId="166AB4EC" w14:textId="3E719753" w:rsidR="00042A77" w:rsidRPr="003F7366" w:rsidRDefault="0084080A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данном направлении банки осуществляют реализацию мероприятий подпрограммы «Доступная среда жизнедеятельности инвалидов и физически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ослабленных лиц» Государственной программы «Социальная защита» на 2021 – 2025 годы</w:t>
      </w:r>
      <w:r w:rsidR="00A31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Ассоциация по поручению Национального банка формирует ежеквартальную ведомственную отчетность</w:t>
      </w:r>
      <w:r w:rsidR="005A16F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1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Министерства труда и социальной защиты. Учитывая планируемую актуализацию данной государственной программы и ее продолжение в будущем периоде, а</w:t>
      </w:r>
      <w:r w:rsidR="00AD23E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ктивное участие банков в создании доступ</w:t>
      </w:r>
      <w:r w:rsidR="00693B8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ной</w:t>
      </w:r>
      <w:r w:rsidR="00AD23E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среды должно быть обеспечено и в последующие годы</w:t>
      </w:r>
      <w:r w:rsidR="00A315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4252F13" w14:textId="413CC8F7" w:rsidR="00E212F0" w:rsidRPr="003F7366" w:rsidRDefault="00A30A7E" w:rsidP="00F46EA1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среднесрочной перспективе 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возможным 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видится участие Ассоциации в </w:t>
      </w:r>
      <w:r w:rsidR="008425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разработке и 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реализации концепции </w:t>
      </w:r>
      <w:r w:rsidR="00F46E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создания цифровой платформы </w:t>
      </w:r>
      <w:proofErr w:type="spellStart"/>
      <w:r w:rsidR="00F46E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SupTech</w:t>
      </w:r>
      <w:proofErr w:type="spellEnd"/>
      <w:r w:rsidR="00F46E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(по примеру Банка России) для </w:t>
      </w:r>
      <w:proofErr w:type="spellStart"/>
      <w:r w:rsidR="00F46E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датацентричного</w:t>
      </w:r>
      <w:proofErr w:type="spellEnd"/>
      <w:r w:rsidR="00F46E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сбора отчетных данных с 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одновременной </w:t>
      </w:r>
      <w:r w:rsidR="00F46EA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оптимизацией состава требуемых показателей, т. е. переход от многочисленных отчетных форм Национального банка к единой системе отчетных показателей. </w:t>
      </w:r>
    </w:p>
    <w:p w14:paraId="7AEC23E8" w14:textId="707FB23D" w:rsidR="00F46EA1" w:rsidRPr="003F7366" w:rsidRDefault="00F46EA1" w:rsidP="00F46EA1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этого Ассоциация должна подготовить предложения по переходу от многочисленных отчетных форм для разных управлений Национального банка к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датацентричному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единому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своду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банковских показателей, что позволит оптимизировать и сократить документооборот, в том числе бумажный, и, возможно, сократить периодичность предоставляемой отчетности, что, в конечном итоге, сократит операционные расходы банков и улучшит качество и согласованность отчетности, исключит дублирование. </w:t>
      </w:r>
    </w:p>
    <w:p w14:paraId="4519F0FA" w14:textId="6D176A91" w:rsidR="00E212F0" w:rsidRPr="003F7366" w:rsidRDefault="00E212F0" w:rsidP="00E212F0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Новой 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востребованной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формой взаимодействия Ассоциации с регуляторными органами может стать систематическая оценка воздействия (регуляторного влияния) отдельных нормативных актов на эффективность деятельности банковской системы. </w:t>
      </w:r>
    </w:p>
    <w:p w14:paraId="0F3E84DC" w14:textId="77777777" w:rsidR="00E212F0" w:rsidRPr="003F7366" w:rsidRDefault="00E212F0" w:rsidP="00E212F0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будет также добиваться постоянного участия своих представителей (руководителей соответствующих комитетов) в заседаниях Постоянных комиссий Совета Республики, Палаты представителей и их включения в рабочие группы Национального банка, Министерства по налогам и сборам, Министерства экономики и других государственных органов при разработке (коррекции) нормативных актов, затрагивающих деятельность банков. </w:t>
      </w:r>
    </w:p>
    <w:p w14:paraId="6C7B9DD2" w14:textId="76D37F40" w:rsidR="00E212F0" w:rsidRPr="003F7366" w:rsidRDefault="00E212F0" w:rsidP="00E212F0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Безусловно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важным </w:t>
      </w:r>
      <w:r w:rsidR="008425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ля скорейшего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практического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внедрения является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уже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начатый совместно с компанией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Юрспектр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проект создания и дальнейшего поддержания в актуальном состоянии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единой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цифровой платформы (банка данных) для размещения классифицированных нормативных актов и всех писем и разъяснений Национального банка и переписки Ассоциации с госорганами. </w:t>
      </w:r>
    </w:p>
    <w:p w14:paraId="35AD45D1" w14:textId="703DB380" w:rsidR="00CA7C2D" w:rsidRPr="003F7366" w:rsidRDefault="005332F5" w:rsidP="00F46EA1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Также н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постоянной основе </w:t>
      </w:r>
      <w:r w:rsidR="00CA7C2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Ассоциация планирует и далее накапливать опыт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внедрения элементов отраслевого</w:t>
      </w:r>
      <w:r w:rsidR="00CA7C2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саморегулирования по отдельным сферам </w:t>
      </w:r>
      <w:r w:rsidR="00E212F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банковской </w:t>
      </w:r>
      <w:r w:rsidR="00CA7C2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деятельности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A7C2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примере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ранее заключенного 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межбанковского </w:t>
      </w:r>
      <w:r w:rsidR="009F65D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соглашения о признаках платежеспособности банкнот и утвержденных Кодексов деловой этики</w:t>
      </w:r>
      <w:r w:rsidR="00CA7C2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810EF5F" w14:textId="12CC147B" w:rsidR="005332F5" w:rsidRPr="003F7366" w:rsidRDefault="005332F5" w:rsidP="00F46EA1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Еще одним действенным направлением объединения усилий отдельных банков может стать 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централизованный заказ отдельных аналитических 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(маркетинговых) 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исследований, в которых заинтересован не один член Ассоциации, а 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одновременно 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несколько. </w:t>
      </w:r>
    </w:p>
    <w:p w14:paraId="4D08CE17" w14:textId="757C009F" w:rsidR="00E75E2F" w:rsidRPr="003F7366" w:rsidRDefault="00E75E2F" w:rsidP="00F46EA1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того, Ас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оциация может стать удобной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независимой 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одновременно доверенной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площадкой для формирования 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аналитических материалов в целом по банковской системе на основе агрегирования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индивидуальных 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данных банков-участников (исключив при этом распространение чувствительной, конфиденциальной информации по каждому банку в отдельности).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качест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подобного примера можно 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рассмотреть 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ание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отраслев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аналитик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уровню средних заработных плат по отдельным специальностям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будет постоянно востребованной 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HR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-службами банков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9DFE062" w14:textId="3CAFD609" w:rsidR="001C7F4C" w:rsidRPr="003F7366" w:rsidRDefault="001C7F4C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7B4FA1" w14:textId="57B7C315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Формирование в обществе доверительной среды и позитивного имиджа банковской системы. </w:t>
      </w:r>
    </w:p>
    <w:p w14:paraId="3BAAB5F2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укрепления доверия потребителей банковских услуг и клиентов банков Ассоциации необходимо:</w:t>
      </w:r>
    </w:p>
    <w:p w14:paraId="1F12D251" w14:textId="06F55516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 расширить деловые контакты со всеми бизнес-союзами и Белорусским фондом финансовой поддержки предпринимательства. Это позволит выявить и предложить банкам новые направления банковского бизнеса (зонтичные гарантии, гарантии БФФПП, льготные кредиты малому бизнесу при содействии Банка развития), а также устранить возникающие проблемы и сформировать у бизнеса позитивный имидж Ассоциации и белорусских банков;</w:t>
      </w:r>
    </w:p>
    <w:p w14:paraId="301B3941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 совместно с БФФПП и Банком развития провести серию мероприятий для малого бизнеса с информированием его о возможностях льготного кредитования;</w:t>
      </w:r>
    </w:p>
    <w:p w14:paraId="1F704590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 продолжить формирование позитивного имиджа самой Ассоциации как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представит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еля коллективного мнения банковского сообщества. Для этого провести следующие мероприятия:</w:t>
      </w:r>
    </w:p>
    <w:p w14:paraId="31295BB6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регулярно информировать (и на отдельные мероприятия приглашать) СМИ об инициативах и проектах Ассоциации;</w:t>
      </w:r>
    </w:p>
    <w:p w14:paraId="1AB02A03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организо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вать образовательные семинары для журналистов на базе учебного центра Ассоциации;</w:t>
      </w:r>
    </w:p>
    <w:p w14:paraId="73488735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проводить ежегодную премию для журналистов за лучшее освещение банковских вопросов и вручать ее на мероприятии «Банк года»;</w:t>
      </w:r>
    </w:p>
    <w:p w14:paraId="4077FF74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 наладить сотрудничество со всеми белорусскими бизнес-порталами (probusiness.io, </w:t>
      </w:r>
      <w:proofErr w:type="spellStart"/>
      <w:proofErr w:type="gram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officelife.media</w:t>
      </w:r>
      <w:proofErr w:type="spellEnd"/>
      <w:proofErr w:type="gram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myfin.by и т.д.) в целях регулярного информирования о позитивных событиях в банковском сообществе и в макроэкономике;</w:t>
      </w:r>
    </w:p>
    <w:p w14:paraId="568FE114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продолжить со СМИ проект «Роль банковских систем в развитии экономики Республики Беларусь»;</w:t>
      </w:r>
    </w:p>
    <w:p w14:paraId="68BA913B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активизировать наполнение и продвижение веб-сайта Ассоциации (раздел для населения), а также проанализировать целесообразность и возможность ведения страниц Ассоциации в социальных сетях (</w:t>
      </w:r>
      <w:r w:rsidRPr="003F7366">
        <w:rPr>
          <w:rFonts w:ascii="Times New Roman" w:eastAsia="Times New Roman" w:hAnsi="Times New Roman" w:cs="Times New Roman"/>
          <w:sz w:val="28"/>
          <w:szCs w:val="28"/>
          <w:lang w:eastAsia="ru-RU"/>
        </w:rPr>
        <w:t>LinkedIn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F7366">
        <w:rPr>
          <w:rFonts w:ascii="Times New Roman" w:eastAsia="Times New Roman" w:hAnsi="Times New Roman" w:cs="Times New Roman"/>
          <w:sz w:val="28"/>
          <w:szCs w:val="28"/>
          <w:lang w:eastAsia="ru-RU"/>
        </w:rPr>
        <w:t>VK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14:paraId="586283E3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4) совместно с НБ и БГУ продолжить проведение мероприятий, поддержку инициатив и их масштабирование по повышению финансовой и цифровой грамотности школьников. В частности, с помощью студентов банковских кафедр развить движение волонтеров цифрового и финансового просвещения населения (лиц с инвалидностью, школьников);</w:t>
      </w:r>
    </w:p>
    <w:p w14:paraId="566A742E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5) будет продолжена работа по подготовке роликов для телевидения по борьбе с мошенничеством с использованием социальной инженерии при оказании банковских услуг;</w:t>
      </w:r>
    </w:p>
    <w:p w14:paraId="4CF7E4F2" w14:textId="77777777" w:rsidR="00DE5E0E" w:rsidRPr="003F7366" w:rsidRDefault="00DE5E0E" w:rsidP="00DE5E0E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6) содействовать внедрению практик добросовестного поведения в деятельность банков.</w:t>
      </w:r>
    </w:p>
    <w:p w14:paraId="00FBC5E9" w14:textId="77777777" w:rsidR="00DE5E0E" w:rsidRDefault="00DE5E0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2DA2ED6E" w14:textId="77777777" w:rsidR="00DE5E0E" w:rsidRDefault="00DE5E0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3BD6327A" w14:textId="5715EA9E" w:rsidR="000B33EE" w:rsidRPr="003F7366" w:rsidRDefault="00932A08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Задача </w:t>
      </w:r>
      <w:r w:rsidR="00DE5E0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Содействие продвижению инноваций в банковскую деятельность. </w:t>
      </w:r>
    </w:p>
    <w:p w14:paraId="0B6E4BC0" w14:textId="31612C90" w:rsidR="00953A04" w:rsidRPr="003F7366" w:rsidRDefault="00953A04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 всем мире б</w:t>
      </w:r>
      <w:r w:rsidR="00BE0863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анковский бизнес находится под растущим давлением небанковских конкурентов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лице новых, 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зачастую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более гибких и менее зарегулированных «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финтехов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</w:t>
      </w:r>
    </w:p>
    <w:p w14:paraId="27F38DF5" w14:textId="01C2E1D0" w:rsidR="00953A04" w:rsidRPr="003F7366" w:rsidRDefault="00953A04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свою очередь белорусский банковский рынок становится более открытым в рамках унификации регулирования ЕАЭС, что также повышает конкурентные риски.</w:t>
      </w:r>
    </w:p>
    <w:p w14:paraId="61CD6B70" w14:textId="5CA5BEF5" w:rsidR="00953A04" w:rsidRPr="003F7366" w:rsidRDefault="00953A04" w:rsidP="00953A04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этих условиях адаптивность и инновационность традиционных коммерческих банков становится 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необходимым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условием их выживания.</w:t>
      </w:r>
    </w:p>
    <w:p w14:paraId="77D377BF" w14:textId="10B45529" w:rsidR="00F9385B" w:rsidRPr="003F7366" w:rsidRDefault="00953A04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Ассоциация должна существенно усилить с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обственную р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оль как инструмента обобщения и распространения передового опыта, формирования 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консолидированных 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стратегически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перспективным направлениям</w:t>
      </w:r>
      <w:r w:rsidR="00F9385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банковской деятельности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B315D6D" w14:textId="2B3306CC" w:rsidR="00953A04" w:rsidRPr="003F7366" w:rsidRDefault="00953A04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этой цели Ассоциация будет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21CB7B1B" w14:textId="77777777" w:rsidR="00F9385B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организовать и проводить форумы, симпозиумы, конференции, семинары, выставки и другие мероприятия по вопросам денежно-кредитной политики и банковской деятельности;</w:t>
      </w:r>
    </w:p>
    <w:p w14:paraId="163E8F55" w14:textId="77777777" w:rsidR="00F9385B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оказывать членам Ассоциации информационную, методологическую, консультативную и иную помощь;</w:t>
      </w:r>
    </w:p>
    <w:p w14:paraId="112381C3" w14:textId="77777777" w:rsidR="00953A04" w:rsidRPr="003F7366" w:rsidRDefault="00F9385B" w:rsidP="00F9385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анализировать состояние и тенденции развития экономики, банковского дела, финансового и кредитного рынка, информировать по этим вопросам членов Ассоциации</w:t>
      </w:r>
      <w:r w:rsidR="00953A0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14:paraId="3D600419" w14:textId="23C5DF9D" w:rsidR="00F9385B" w:rsidRPr="003F7366" w:rsidRDefault="00953A0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участвовать в организации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совместных 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стратегических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мероприятий членов Ассоциации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(совместные страт</w:t>
      </w:r>
      <w:r w:rsidR="000E12C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егические 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сессии, </w:t>
      </w:r>
      <w:proofErr w:type="spellStart"/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форсайты</w:t>
      </w:r>
      <w:proofErr w:type="spellEnd"/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диалоговые площадки и т.п.).</w:t>
      </w:r>
    </w:p>
    <w:p w14:paraId="51A6ECBB" w14:textId="4E1A12BB" w:rsidR="009900E7" w:rsidRPr="003F7366" w:rsidRDefault="00B856B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на протяжении всей своей деятельности совместно с заинтересованными 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партнерами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(НБ, Инфопарк, Конфедерация цифрового бизнеса,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Myfin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др.) 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проводила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десятки форумов, конференций и т.д. </w:t>
      </w:r>
      <w:r w:rsidR="009900E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Подобная практика </w:t>
      </w:r>
      <w:r w:rsidR="009900E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организации площадок обмена 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взаимно полезным </w:t>
      </w:r>
      <w:r w:rsidR="009900E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опытом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(не нарушая </w:t>
      </w:r>
      <w:r w:rsidR="00E75E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принципов здоровой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конкуренции) </w:t>
      </w:r>
      <w:r w:rsidR="009900E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</w:t>
      </w:r>
      <w:r w:rsidR="0054272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далее </w:t>
      </w:r>
      <w:r w:rsidR="005332F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развиваться и </w:t>
      </w:r>
      <w:r w:rsidR="009900E7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совершенствоваться.</w:t>
      </w:r>
    </w:p>
    <w:p w14:paraId="538A967A" w14:textId="3C28DAE4" w:rsidR="00B856B9" w:rsidRPr="003F7366" w:rsidRDefault="00B856B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ближайш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 перспективу</w:t>
      </w:r>
      <w:r w:rsidR="00B939B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качестве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приоритетных направлени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Ассоциации</w:t>
      </w:r>
      <w:r w:rsidR="00241B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распространению инновационного опыта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можно выделить:</w:t>
      </w:r>
    </w:p>
    <w:p w14:paraId="44FD387F" w14:textId="77777777" w:rsidR="00232CC9" w:rsidRDefault="00F119C1" w:rsidP="00F119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932A08" w:rsidRP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Цифровой банкинг и кибербезопасность. </w:t>
      </w:r>
    </w:p>
    <w:p w14:paraId="480ECA52" w14:textId="33616B2F" w:rsidR="00301F73" w:rsidRPr="006B629D" w:rsidRDefault="00584441" w:rsidP="00F119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Являясь членом </w:t>
      </w:r>
      <w:r w:rsidR="00C148D7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Ассоциации «</w:t>
      </w: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Конфедерации цифрового бизнеса</w:t>
      </w:r>
      <w:r w:rsidR="00C148D7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понимая значимую роль информационных т</w:t>
      </w:r>
      <w:r w:rsidR="00301F73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ехнологий в развитии финансового</w:t>
      </w: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сектора</w:t>
      </w:r>
      <w:r w:rsidR="00781B29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17ECC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Ассоциация ставит перед собой задачу консолидации усилий</w:t>
      </w:r>
      <w:r w:rsidR="00781B29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1F73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банков и ИТ-компаний (при содействии Научно-технологической ассоциации «Инфопарк» (далее – Ассоциация «Инфопарк») для достижения взаимовыгодных целей путем проведения профильных мероприятий и решения актуальных задач в рамках совместных рабочих групп и Комитетов.</w:t>
      </w:r>
    </w:p>
    <w:p w14:paraId="31763FA6" w14:textId="2E42E317" w:rsidR="00584441" w:rsidRPr="006B629D" w:rsidRDefault="00B405CE" w:rsidP="00F119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предыдущие годы с</w:t>
      </w:r>
      <w:r w:rsidR="00301F73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вою эффективность показало функционирование совместной </w:t>
      </w:r>
      <w:r w:rsidR="00724210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Рабочей группы комитетов по информационной безопасности Ассоциации «Инфопарк» и Ассоциации белорусских банков по координации действий и совершенствованию сотрудничества в области информационной безопасности организаций кредитно-финансовой сферы, работа которой будет продолжена.</w:t>
      </w:r>
    </w:p>
    <w:p w14:paraId="03BB0E39" w14:textId="630EC089" w:rsidR="00F4380A" w:rsidRPr="006B629D" w:rsidRDefault="00F4380A" w:rsidP="00F119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Учитывая многолетние партнерские отношения с Ассоциацией «Инфопарк», Ассоциация </w:t>
      </w:r>
      <w:r w:rsidR="004E47D1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планирует и в дальнейше</w:t>
      </w:r>
      <w:r w:rsidR="00910A7C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4E47D1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принимать участие в организации, проведении и поддержке совместных мероприятий, направленных на обмен опытом и освещение инноваций в сферах цифровых финансовых технологий, информационной и кибербезопасности.</w:t>
      </w:r>
    </w:p>
    <w:p w14:paraId="47FD4221" w14:textId="25F37388" w:rsidR="00581C61" w:rsidRDefault="00581C61" w:rsidP="00F119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Особое внимание будет уделено стимулированию развития и использования открытых API в банковском секторе, в том числе для развития платформенных решений (интеграции финансовых и нефинансовых сервисов, развитию систем по управлению финансами, предполагающих возможность интеграции всех используемых клиентами банковских продуктов в единое приложение и возможность управления ими и др.).</w:t>
      </w:r>
    </w:p>
    <w:p w14:paraId="42CA6E46" w14:textId="3D450C71" w:rsidR="00741F2F" w:rsidRPr="003F7366" w:rsidRDefault="009D6B2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E67E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  <w:r w:rsidR="00956CE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ESG-банкинг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т.ч. </w:t>
      </w:r>
      <w:r w:rsidR="00956CE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кредитование проектов по адаптации к изменению климата</w:t>
      </w:r>
      <w:r w:rsidR="0050127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выпуск «зеленых» облигаций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</w:t>
      </w:r>
      <w:r w:rsidR="00E4692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редполагается обсудить с банками и </w:t>
      </w:r>
      <w:r w:rsidR="005643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Национальным банком </w:t>
      </w:r>
      <w:r w:rsidR="00E4692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</w:t>
      </w:r>
      <w:r w:rsidR="000B2EE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ость снижения</w:t>
      </w:r>
      <w:r w:rsidR="00E46920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643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регуляторны</w:t>
      </w:r>
      <w:r w:rsidR="000B2EE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5643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требовани</w:t>
      </w:r>
      <w:r w:rsidR="000B2EE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5643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F74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кредитования ESG-проектов</w:t>
      </w:r>
      <w:r w:rsidR="005643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41F2F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 целесообразно по примеру Ассоциации банков России с помощью ESG-Комитета разработать «Практические рекомендации по внедрению ESG-банкинга в Беларуси».</w:t>
      </w:r>
    </w:p>
    <w:p w14:paraId="3D11B9B6" w14:textId="0C428F53" w:rsidR="0075724A" w:rsidRPr="003F7366" w:rsidRDefault="006D421D" w:rsidP="0075724A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Ключевым инфраструктурным инструментом поддержки инноваций в банковском секторе может стать практическое внедрение механизма «регуляторной песочницы» (или экспериментального правового режима). Его цель – создать безопасную среду для тестирования и апробации новых прорывных технологий, которые не вписываются в текущие законодательные рамки, но имеют потенциал для трансформации рынка. Это позволит существенно с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ократить срок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практического внедрения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разрабатываемых 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инноваций,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позволяя параллельное формирование постоянного нормативного регулирования возникающих ню</w:t>
      </w:r>
      <w:r w:rsidR="00DD339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ансов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75724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C0E5456" w14:textId="60C89A48" w:rsidR="0075724A" w:rsidRDefault="0075724A" w:rsidP="0075724A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этой связи Ассоциация намерена совместно с банками </w:t>
      </w:r>
      <w:r w:rsidR="006D421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заинтересованными регуляторами проработать возможность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создания экспериментального «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финтех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-хаба» (по примеру Банка России)</w:t>
      </w:r>
      <w:r w:rsidR="006D421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C1CC581" w14:textId="01A2F218" w:rsidR="00A04214" w:rsidRPr="006B629D" w:rsidRDefault="00B57230" w:rsidP="0075724A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A04214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Концепции развития платежного рынка Республики Беларусь и цифровизации банковского сектора на 2023 – 2025 годы, утвержденной постановлением Правления Национального банка от 27.07.2023 № 267, одним из ключевых направлений развития платежного рынка Республики Беларусь является развитие новых способов осуществления платежей, в том числе с учетом расширения возможностей системы мгновенных платежей Национального банка (далее – СМП).</w:t>
      </w:r>
    </w:p>
    <w:p w14:paraId="76150204" w14:textId="7D513F7E" w:rsidR="00D87E05" w:rsidRDefault="00A04214" w:rsidP="00D87E05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этой связи важной задачей Ассоциация видит оказание содействия в реализации возможности осуществления мгновенных платежей от физических лиц в пользу юридических лиц и индивидуальных предпринимателей по QR-коду</w:t>
      </w:r>
      <w:r w:rsidR="00D52657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путем</w:t>
      </w:r>
      <w:r w:rsidR="00D87E05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информировани</w:t>
      </w:r>
      <w:r w:rsidR="00D52657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рамках конференций, семинаров, форумов и иных мероприятий, проводимых для банковского сообщества, о социальной значимости проекта</w:t>
      </w:r>
      <w:r w:rsidR="00D87E05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также консолидации заинтересованных на одной диалоговой площадке для обмена опытом и мнениями в процессе внедрения новой платежной услуги и ее дальнейш</w:t>
      </w:r>
      <w:r w:rsidR="00B11A1B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="00D87E05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развити</w:t>
      </w:r>
      <w:r w:rsidR="00B11A1B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D87E05" w:rsidRPr="006B62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CC655C2" w14:textId="77777777" w:rsidR="0075724A" w:rsidRPr="003F7366" w:rsidRDefault="0075724A" w:rsidP="0075724A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2972858" w14:textId="09F3BCF6" w:rsidR="008E67E1" w:rsidRPr="003F7366" w:rsidRDefault="008E67E1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Задача </w:t>
      </w:r>
      <w:r w:rsidR="00DE5E0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Содействие повышению уровня компетенций руководителей и специалистов банков. </w:t>
      </w:r>
    </w:p>
    <w:p w14:paraId="6C61DAE8" w14:textId="534D0993" w:rsidR="00DA44DD" w:rsidRPr="003F7366" w:rsidRDefault="00D43628" w:rsidP="00DA44DD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Профессиональная подготовка и переподготовка банковских специалистов обеспечивается </w:t>
      </w:r>
      <w:r w:rsidR="00DA44D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путем:</w:t>
      </w:r>
    </w:p>
    <w:p w14:paraId="0117E122" w14:textId="024544FD" w:rsidR="00DA44DD" w:rsidRPr="003F7366" w:rsidRDefault="00DA44DD" w:rsidP="00DA44DD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сотрудничества</w:t>
      </w:r>
      <w:r w:rsidR="000B1A3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Ассоциации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высшими учебными заведениями, занимающимися подготовкой специалистов в сфере банковской деятельности;</w:t>
      </w:r>
    </w:p>
    <w:p w14:paraId="70C47D22" w14:textId="5C4009FE" w:rsidR="00DA44DD" w:rsidRPr="003F7366" w:rsidRDefault="00DA44DD" w:rsidP="00DA44DD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проведения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специализированных </w:t>
      </w:r>
      <w:r w:rsidR="000B1A3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семинаров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0B1A35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форумов, конференций, выставок и других обучающих мероприятий; </w:t>
      </w:r>
    </w:p>
    <w:p w14:paraId="3D018184" w14:textId="77777777" w:rsidR="00DA44DD" w:rsidRPr="003F7366" w:rsidRDefault="00DA44DD" w:rsidP="00DA44DD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выпуска периодических изданий по вопросам банковского дела.</w:t>
      </w:r>
    </w:p>
    <w:p w14:paraId="32FE32CC" w14:textId="78BF2B9E" w:rsidR="00B856B9" w:rsidRPr="003F7366" w:rsidRDefault="00B856B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Предполагается в учебном центре О</w:t>
      </w:r>
      <w:r w:rsidR="00F119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«Банковское дело» при </w:t>
      </w:r>
      <w:r w:rsidR="0056435A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ссоциации наряду с традиционным </w:t>
      </w:r>
      <w:r w:rsidR="00A30A7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освещением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текущих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изменений в законодательстве открыть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дополнительное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направление по изучению современных финансовых технологий, в первую очередь, по развитию цифровых компетенций банковских работников. </w:t>
      </w:r>
    </w:p>
    <w:p w14:paraId="2176C940" w14:textId="06697ECE" w:rsidR="000B1A35" w:rsidRPr="003F7366" w:rsidRDefault="000B1A35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настоящее время во многих банках </w:t>
      </w:r>
      <w:r w:rsidR="00A30A7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созданы и успешно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функционируют собственные учебные программы и курсы («внутренние университеты»). Перспективным механизмом взаимного расширения возможностей отдельных банков может стать организация при посредничестве Ассоциации взаимного обмена </w:t>
      </w:r>
      <w:r w:rsidR="00A30A7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разработанными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курсами и лекторами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103F224" w14:textId="671F6CBF" w:rsidR="00C15672" w:rsidRPr="003F7366" w:rsidRDefault="00F541A4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</w:t>
      </w:r>
      <w:r w:rsidR="005B0D14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продолжен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результативное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взаимодействие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Ассоциаци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кафедрой банковского бизнеса и финансовых технологий и кафедрой аналитической экономики и эконометрики экономического факультета БГУ, а также с кафедрой банковского дела БГЭУ по корректировке учебных планов и программ, а также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организации в банках практик и распределений бюджетных специалистов. Будет инициировано расширение подготовки на банковских кафедрах </w:t>
      </w:r>
      <w:r w:rsidR="0065180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специалистов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применению искусственного интеллекта.</w:t>
      </w:r>
      <w:r w:rsidR="0065180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048C3BA" w14:textId="29C6BA94" w:rsidR="00F541A4" w:rsidRPr="003F7366" w:rsidRDefault="0065180E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настоящее в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едется подготовка к проведению в БГУ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онференции выпускников банковских кафедр на тему «Future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banking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14:paraId="100E9D05" w14:textId="14F103D8" w:rsidR="00942EEB" w:rsidRPr="003F7366" w:rsidRDefault="00942EE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продолжена совместная работа с Национальным банком по </w:t>
      </w:r>
      <w:r w:rsidR="00D4362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регулярному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проведению по актуальным для банков направлениям повышения компетенций сотрудников семинаров в </w:t>
      </w:r>
      <w:r w:rsidR="0065180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чебном центре Национального банка Республики </w:t>
      </w:r>
      <w:r w:rsidR="008668C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еларусь</w:t>
      </w:r>
      <w:r w:rsidR="00D46FC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первую очередь, по корпоративному управлению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3F688F88" w14:textId="27FAD6BE" w:rsidR="00D43628" w:rsidRPr="003F7366" w:rsidRDefault="00D43628" w:rsidP="00D43628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также будет по отдельным заказам банков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организовывать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специализированного обучения совместно с другими государственными органами по примеру </w:t>
      </w:r>
      <w:r w:rsidR="00C1567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ранее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реализованного с Государственным комитетом судебных экспертиз учебного семинара по проверке подлинности денежных знаков. </w:t>
      </w:r>
    </w:p>
    <w:p w14:paraId="50C1B1EC" w14:textId="77777777" w:rsidR="006E35DF" w:rsidRDefault="006E35D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4CBFCB1F" w14:textId="0CCDDDC6" w:rsidR="00A53FE5" w:rsidRPr="003F7366" w:rsidRDefault="00942EEB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Задача </w:t>
      </w:r>
      <w:r w:rsidR="00DE5E0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3F736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Содействие развитию международных отношений белорусских банков. </w:t>
      </w:r>
    </w:p>
    <w:p w14:paraId="447D53E7" w14:textId="7F3D9CC6" w:rsidR="00B856B9" w:rsidRPr="003F7366" w:rsidRDefault="00B856B9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</w:t>
      </w:r>
      <w:r w:rsidR="0065180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всегда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способствовала международным отношениям банков, а в текущей ситуации санкций предполагает </w:t>
      </w:r>
      <w:r w:rsidR="005B7C8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целенаправленно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расширять сотрудничество белорусских банков в странах ЕАЭС, ШОС, БРИКС. </w:t>
      </w:r>
      <w:r w:rsidR="005B7C8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Ключевая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проблема международных отношений в текущей ситуации 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девалютизации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санкций –– переход на расчеты в национальных валютах. Решение этой проблемы требует налаживания отношений с банками дружественных стран, согласных на такие расчеты, и использования или создания расчетных систем в реальном режиме времени. Для этого</w:t>
      </w:r>
      <w:r w:rsidR="005B7C89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предусматривается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участие представителей </w:t>
      </w:r>
      <w:r w:rsidR="0071035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ссоциации в работе Экспертной группы </w:t>
      </w:r>
      <w:r w:rsidR="0071035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государств-членов ШОС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реализации Дорожной карты постепенно</w:t>
      </w:r>
      <w:r w:rsidR="00792A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увеличени</w:t>
      </w:r>
      <w:r w:rsidR="00792A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доли национальных валют во взаимных расчетах стран ШОС</w:t>
      </w:r>
      <w:r w:rsidR="0065180E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также в соответствующих группах</w:t>
      </w:r>
      <w:r w:rsidR="005579B8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БРИКС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5D1CEC5" w14:textId="5F1BA2A8" w:rsidR="00BA5FBC" w:rsidRPr="003F7366" w:rsidRDefault="007E09A3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Предполагается установить или расширить сотрудничество с банковскими объединениями стран из региональных объединений ЕАЭС, ШОС, БРИКС и их банками</w:t>
      </w:r>
      <w:r w:rsidR="00BA5FBC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F7E4341" w14:textId="2ED7FBC7" w:rsidR="00B65B32" w:rsidRPr="003F7366" w:rsidRDefault="00B65B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Будет продолжено участие </w:t>
      </w:r>
      <w:r w:rsidR="00792A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социации в работе по гармонизации банковского законодательства ЕАЭС</w:t>
      </w:r>
      <w:r w:rsidR="00792A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созданию единого биржевого пространства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E6C93B8" w14:textId="17DDA2B8" w:rsidR="00B65B32" w:rsidRPr="003F7366" w:rsidRDefault="00B65B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Предполагается оживить работу 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Международного Банковского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банковских ассоциаци</w:t>
      </w:r>
      <w:r w:rsidR="00A25931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СНГ и ЦВЕ.</w:t>
      </w:r>
    </w:p>
    <w:p w14:paraId="42334091" w14:textId="552E4C0C" w:rsidR="00942EEB" w:rsidRPr="003F7366" w:rsidRDefault="00792A8D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предложениям банков б</w:t>
      </w:r>
      <w:r w:rsidR="00B65B3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удет установлено сотрудничество с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B65B32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елорусским представительством ООН по направлениям:</w:t>
      </w:r>
    </w:p>
    <w:p w14:paraId="1C5C2AF8" w14:textId="40FFBBDE" w:rsidR="00B65B32" w:rsidRPr="003F7366" w:rsidRDefault="00B65B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цели устойчивого развития и ESG-инициативы;</w:t>
      </w:r>
    </w:p>
    <w:p w14:paraId="3015F019" w14:textId="060685EE" w:rsidR="00B65B32" w:rsidRPr="003F7366" w:rsidRDefault="00B65B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 финансовая грамотность населения.</w:t>
      </w:r>
    </w:p>
    <w:p w14:paraId="12769F16" w14:textId="77777777" w:rsidR="00741F2F" w:rsidRPr="003F7366" w:rsidRDefault="00741F2F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Ассоциация предполагает изучить вопрос о присоединении к Сети устойчивого банкинга (</w:t>
      </w:r>
      <w:proofErr w:type="spellStart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Sustainable</w:t>
      </w:r>
      <w:proofErr w:type="spellEnd"/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Banking Network), которая создана еще в 2012 г.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Сеть преследует две цели: улучшение управления ESG-рисками и финансирование деятельности, оказывающей позитивное влияние на климат. </w:t>
      </w:r>
    </w:p>
    <w:p w14:paraId="68FDAFAA" w14:textId="5963BEEC" w:rsidR="008F59EE" w:rsidRPr="003F7366" w:rsidRDefault="00B65B32" w:rsidP="008744BB">
      <w:pPr>
        <w:tabs>
          <w:tab w:val="left" w:pos="453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Ассоциация приступит к реализации </w:t>
      </w:r>
      <w:r w:rsidR="00792A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подписанн</w:t>
      </w:r>
      <w:r w:rsidR="00B010F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="00792A8D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2024 году 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Меморандума о взаимодействии с Китайской банковской ассоциацией</w:t>
      </w:r>
      <w:r w:rsidR="0077553B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 начале 2025 года Меморандума о сотрудничестве с Ассоциацией вьетнамских банков</w:t>
      </w:r>
      <w:r w:rsidR="009344B6"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также изучит возможность заключения аналогичных Меморандумов с Ассоциациями других дружественных стран, особенно в регионах, имеющих значительный потенциал развития внешнеэкономического сотрудничества</w:t>
      </w:r>
      <w:r w:rsidRPr="003F73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sectPr w:rsidR="008F59EE" w:rsidRPr="003F7366" w:rsidSect="008F59EE">
      <w:footerReference w:type="default" r:id="rId8"/>
      <w:pgSz w:w="12240" w:h="15840" w:code="1"/>
      <w:pgMar w:top="1134" w:right="851" w:bottom="1134" w:left="1701" w:header="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78F5" w14:textId="77777777" w:rsidR="004B2D51" w:rsidRDefault="004B2D51" w:rsidP="008F59EE">
      <w:pPr>
        <w:spacing w:after="0" w:line="240" w:lineRule="auto"/>
      </w:pPr>
      <w:r>
        <w:separator/>
      </w:r>
    </w:p>
  </w:endnote>
  <w:endnote w:type="continuationSeparator" w:id="0">
    <w:p w14:paraId="50723061" w14:textId="77777777" w:rsidR="004B2D51" w:rsidRDefault="004B2D51" w:rsidP="008F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2309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24A0B8" w14:textId="208DE349" w:rsidR="00584441" w:rsidRPr="008F59EE" w:rsidRDefault="00584441" w:rsidP="008F59E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59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59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59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4545" w:rsidRPr="00B4454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8F59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0EFC" w14:textId="77777777" w:rsidR="004B2D51" w:rsidRDefault="004B2D51" w:rsidP="008F59EE">
      <w:pPr>
        <w:spacing w:after="0" w:line="240" w:lineRule="auto"/>
      </w:pPr>
      <w:r>
        <w:separator/>
      </w:r>
    </w:p>
  </w:footnote>
  <w:footnote w:type="continuationSeparator" w:id="0">
    <w:p w14:paraId="3994C03A" w14:textId="77777777" w:rsidR="004B2D51" w:rsidRDefault="004B2D51" w:rsidP="008F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207"/>
    <w:multiLevelType w:val="hybridMultilevel"/>
    <w:tmpl w:val="3F04C5A4"/>
    <w:lvl w:ilvl="0" w:tplc="DBF617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6642D"/>
    <w:multiLevelType w:val="hybridMultilevel"/>
    <w:tmpl w:val="857681F8"/>
    <w:lvl w:ilvl="0" w:tplc="58A40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3A5C80"/>
    <w:multiLevelType w:val="hybridMultilevel"/>
    <w:tmpl w:val="AE826136"/>
    <w:lvl w:ilvl="0" w:tplc="3A984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E871BC"/>
    <w:multiLevelType w:val="hybridMultilevel"/>
    <w:tmpl w:val="769CA32E"/>
    <w:lvl w:ilvl="0" w:tplc="8784565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FA242AD"/>
    <w:multiLevelType w:val="hybridMultilevel"/>
    <w:tmpl w:val="F1920604"/>
    <w:lvl w:ilvl="0" w:tplc="7FDA74D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6DF61A9"/>
    <w:multiLevelType w:val="hybridMultilevel"/>
    <w:tmpl w:val="0AA4ADB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56F9F"/>
    <w:multiLevelType w:val="hybridMultilevel"/>
    <w:tmpl w:val="C3B2FFE0"/>
    <w:lvl w:ilvl="0" w:tplc="AE265B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4CB179A1"/>
    <w:multiLevelType w:val="hybridMultilevel"/>
    <w:tmpl w:val="6D5E3CFC"/>
    <w:lvl w:ilvl="0" w:tplc="C9707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454DB8"/>
    <w:multiLevelType w:val="hybridMultilevel"/>
    <w:tmpl w:val="332216D2"/>
    <w:lvl w:ilvl="0" w:tplc="516646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B457E8"/>
    <w:multiLevelType w:val="hybridMultilevel"/>
    <w:tmpl w:val="B1F0EBEE"/>
    <w:lvl w:ilvl="0" w:tplc="27D0DD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7A"/>
    <w:rsid w:val="00042A77"/>
    <w:rsid w:val="00047CA9"/>
    <w:rsid w:val="00051FE8"/>
    <w:rsid w:val="00064921"/>
    <w:rsid w:val="00064E1D"/>
    <w:rsid w:val="00066971"/>
    <w:rsid w:val="000723CA"/>
    <w:rsid w:val="00086B2A"/>
    <w:rsid w:val="000A3348"/>
    <w:rsid w:val="000B1A35"/>
    <w:rsid w:val="000B1E37"/>
    <w:rsid w:val="000B2EE4"/>
    <w:rsid w:val="000B33EE"/>
    <w:rsid w:val="000B4B94"/>
    <w:rsid w:val="000C46FD"/>
    <w:rsid w:val="000D5D26"/>
    <w:rsid w:val="000E12C6"/>
    <w:rsid w:val="000E45DA"/>
    <w:rsid w:val="000E706D"/>
    <w:rsid w:val="000F268C"/>
    <w:rsid w:val="00100709"/>
    <w:rsid w:val="001074EA"/>
    <w:rsid w:val="00116D90"/>
    <w:rsid w:val="0011730D"/>
    <w:rsid w:val="00124554"/>
    <w:rsid w:val="00125841"/>
    <w:rsid w:val="00142900"/>
    <w:rsid w:val="001439A3"/>
    <w:rsid w:val="001478AE"/>
    <w:rsid w:val="00157BD4"/>
    <w:rsid w:val="001609A5"/>
    <w:rsid w:val="001863C9"/>
    <w:rsid w:val="00193BB5"/>
    <w:rsid w:val="001A033C"/>
    <w:rsid w:val="001C7F4C"/>
    <w:rsid w:val="001F29AA"/>
    <w:rsid w:val="00225CA5"/>
    <w:rsid w:val="002277B7"/>
    <w:rsid w:val="00232CC9"/>
    <w:rsid w:val="00241AAB"/>
    <w:rsid w:val="00241B14"/>
    <w:rsid w:val="00252887"/>
    <w:rsid w:val="0025730B"/>
    <w:rsid w:val="00265578"/>
    <w:rsid w:val="00266490"/>
    <w:rsid w:val="002727DD"/>
    <w:rsid w:val="00284DB8"/>
    <w:rsid w:val="0029286B"/>
    <w:rsid w:val="002A0B8E"/>
    <w:rsid w:val="002B0AE9"/>
    <w:rsid w:val="002B286D"/>
    <w:rsid w:val="002B5321"/>
    <w:rsid w:val="002D39FB"/>
    <w:rsid w:val="002D79BE"/>
    <w:rsid w:val="002E16A9"/>
    <w:rsid w:val="002F02B8"/>
    <w:rsid w:val="00301F73"/>
    <w:rsid w:val="0031078F"/>
    <w:rsid w:val="00312DBB"/>
    <w:rsid w:val="00323D27"/>
    <w:rsid w:val="00326BC8"/>
    <w:rsid w:val="00336218"/>
    <w:rsid w:val="00342C81"/>
    <w:rsid w:val="003510A6"/>
    <w:rsid w:val="00363C32"/>
    <w:rsid w:val="00367B06"/>
    <w:rsid w:val="00387D64"/>
    <w:rsid w:val="00394934"/>
    <w:rsid w:val="003B2B7B"/>
    <w:rsid w:val="003B531E"/>
    <w:rsid w:val="003B6D8D"/>
    <w:rsid w:val="003D7898"/>
    <w:rsid w:val="003E3EEE"/>
    <w:rsid w:val="003E7F9B"/>
    <w:rsid w:val="003F225D"/>
    <w:rsid w:val="003F27CD"/>
    <w:rsid w:val="003F2B84"/>
    <w:rsid w:val="003F3CF0"/>
    <w:rsid w:val="003F7366"/>
    <w:rsid w:val="0041235F"/>
    <w:rsid w:val="00436F6B"/>
    <w:rsid w:val="004377FB"/>
    <w:rsid w:val="00440F33"/>
    <w:rsid w:val="004458FF"/>
    <w:rsid w:val="00451EFB"/>
    <w:rsid w:val="00460106"/>
    <w:rsid w:val="004918C4"/>
    <w:rsid w:val="00496517"/>
    <w:rsid w:val="004A2909"/>
    <w:rsid w:val="004A4E2C"/>
    <w:rsid w:val="004A78D3"/>
    <w:rsid w:val="004B2D51"/>
    <w:rsid w:val="004C05FA"/>
    <w:rsid w:val="004D2EC2"/>
    <w:rsid w:val="004E47D1"/>
    <w:rsid w:val="004E4923"/>
    <w:rsid w:val="004E4DDE"/>
    <w:rsid w:val="004E59DC"/>
    <w:rsid w:val="004E78E0"/>
    <w:rsid w:val="0050127B"/>
    <w:rsid w:val="00502E1B"/>
    <w:rsid w:val="00505DBF"/>
    <w:rsid w:val="00511EC0"/>
    <w:rsid w:val="00513C7E"/>
    <w:rsid w:val="00516329"/>
    <w:rsid w:val="00516A72"/>
    <w:rsid w:val="00522FE4"/>
    <w:rsid w:val="00524E46"/>
    <w:rsid w:val="0052519B"/>
    <w:rsid w:val="00531C42"/>
    <w:rsid w:val="005332F5"/>
    <w:rsid w:val="00540FC4"/>
    <w:rsid w:val="00542724"/>
    <w:rsid w:val="00551E7A"/>
    <w:rsid w:val="00552473"/>
    <w:rsid w:val="005579B8"/>
    <w:rsid w:val="0056435A"/>
    <w:rsid w:val="00566F61"/>
    <w:rsid w:val="00572E22"/>
    <w:rsid w:val="00574A88"/>
    <w:rsid w:val="00581C61"/>
    <w:rsid w:val="00584441"/>
    <w:rsid w:val="00593F8B"/>
    <w:rsid w:val="00595F64"/>
    <w:rsid w:val="005A16F1"/>
    <w:rsid w:val="005B0D14"/>
    <w:rsid w:val="005B2FC7"/>
    <w:rsid w:val="005B7C89"/>
    <w:rsid w:val="005C5F2D"/>
    <w:rsid w:val="005D6974"/>
    <w:rsid w:val="005E235F"/>
    <w:rsid w:val="005F2529"/>
    <w:rsid w:val="005F53BF"/>
    <w:rsid w:val="005F745A"/>
    <w:rsid w:val="0062542D"/>
    <w:rsid w:val="006449E7"/>
    <w:rsid w:val="00645286"/>
    <w:rsid w:val="0065180E"/>
    <w:rsid w:val="00655FE8"/>
    <w:rsid w:val="00657865"/>
    <w:rsid w:val="00657E92"/>
    <w:rsid w:val="0066096C"/>
    <w:rsid w:val="00683054"/>
    <w:rsid w:val="00693B8E"/>
    <w:rsid w:val="006B25CB"/>
    <w:rsid w:val="006B30C6"/>
    <w:rsid w:val="006B3658"/>
    <w:rsid w:val="006B629D"/>
    <w:rsid w:val="006D1D33"/>
    <w:rsid w:val="006D421D"/>
    <w:rsid w:val="006E35DF"/>
    <w:rsid w:val="00700A89"/>
    <w:rsid w:val="0071035C"/>
    <w:rsid w:val="00724210"/>
    <w:rsid w:val="0072693A"/>
    <w:rsid w:val="00731706"/>
    <w:rsid w:val="00740DEC"/>
    <w:rsid w:val="00741F2F"/>
    <w:rsid w:val="00743806"/>
    <w:rsid w:val="007443ED"/>
    <w:rsid w:val="00744AA6"/>
    <w:rsid w:val="007511F7"/>
    <w:rsid w:val="00754287"/>
    <w:rsid w:val="0075724A"/>
    <w:rsid w:val="00761EF7"/>
    <w:rsid w:val="00771DAF"/>
    <w:rsid w:val="0077541F"/>
    <w:rsid w:val="0077553B"/>
    <w:rsid w:val="007759C1"/>
    <w:rsid w:val="00781B29"/>
    <w:rsid w:val="007906C9"/>
    <w:rsid w:val="00792A8D"/>
    <w:rsid w:val="00797FDC"/>
    <w:rsid w:val="007A033B"/>
    <w:rsid w:val="007D2FD5"/>
    <w:rsid w:val="007D77F4"/>
    <w:rsid w:val="007E09A3"/>
    <w:rsid w:val="008202DE"/>
    <w:rsid w:val="00827BED"/>
    <w:rsid w:val="008335A1"/>
    <w:rsid w:val="0084080A"/>
    <w:rsid w:val="0084255B"/>
    <w:rsid w:val="008668CE"/>
    <w:rsid w:val="00870A75"/>
    <w:rsid w:val="008744BB"/>
    <w:rsid w:val="008A1A8F"/>
    <w:rsid w:val="008A2DFA"/>
    <w:rsid w:val="008A4E9A"/>
    <w:rsid w:val="008C5A8B"/>
    <w:rsid w:val="008D64D6"/>
    <w:rsid w:val="008E67E1"/>
    <w:rsid w:val="008F59EE"/>
    <w:rsid w:val="00903FC6"/>
    <w:rsid w:val="00910A7C"/>
    <w:rsid w:val="0091252C"/>
    <w:rsid w:val="009201A8"/>
    <w:rsid w:val="00924C42"/>
    <w:rsid w:val="00932A08"/>
    <w:rsid w:val="009344B6"/>
    <w:rsid w:val="00934BCA"/>
    <w:rsid w:val="00942EEB"/>
    <w:rsid w:val="00953A04"/>
    <w:rsid w:val="00956CEC"/>
    <w:rsid w:val="00961577"/>
    <w:rsid w:val="00970406"/>
    <w:rsid w:val="009744F7"/>
    <w:rsid w:val="00984B0E"/>
    <w:rsid w:val="009900E7"/>
    <w:rsid w:val="00993AFA"/>
    <w:rsid w:val="009B12D2"/>
    <w:rsid w:val="009B158E"/>
    <w:rsid w:val="009B4570"/>
    <w:rsid w:val="009C497C"/>
    <w:rsid w:val="009D6B29"/>
    <w:rsid w:val="009E5935"/>
    <w:rsid w:val="009F13DC"/>
    <w:rsid w:val="009F377C"/>
    <w:rsid w:val="009F46DA"/>
    <w:rsid w:val="009F65D8"/>
    <w:rsid w:val="00A00E1C"/>
    <w:rsid w:val="00A01136"/>
    <w:rsid w:val="00A04214"/>
    <w:rsid w:val="00A14EB5"/>
    <w:rsid w:val="00A17ECC"/>
    <w:rsid w:val="00A25931"/>
    <w:rsid w:val="00A30A7E"/>
    <w:rsid w:val="00A31572"/>
    <w:rsid w:val="00A45153"/>
    <w:rsid w:val="00A53FE5"/>
    <w:rsid w:val="00A96CE5"/>
    <w:rsid w:val="00AA0B4F"/>
    <w:rsid w:val="00AA1AFE"/>
    <w:rsid w:val="00AB1425"/>
    <w:rsid w:val="00AB19E0"/>
    <w:rsid w:val="00AB3444"/>
    <w:rsid w:val="00AC1919"/>
    <w:rsid w:val="00AC723B"/>
    <w:rsid w:val="00AD23E3"/>
    <w:rsid w:val="00AD468B"/>
    <w:rsid w:val="00AD76E7"/>
    <w:rsid w:val="00AE27DC"/>
    <w:rsid w:val="00AE4DBD"/>
    <w:rsid w:val="00B010FB"/>
    <w:rsid w:val="00B06038"/>
    <w:rsid w:val="00B06572"/>
    <w:rsid w:val="00B11A1B"/>
    <w:rsid w:val="00B16D1F"/>
    <w:rsid w:val="00B17A8D"/>
    <w:rsid w:val="00B234F2"/>
    <w:rsid w:val="00B30126"/>
    <w:rsid w:val="00B310AF"/>
    <w:rsid w:val="00B34C9F"/>
    <w:rsid w:val="00B36B75"/>
    <w:rsid w:val="00B40400"/>
    <w:rsid w:val="00B405CE"/>
    <w:rsid w:val="00B44545"/>
    <w:rsid w:val="00B57230"/>
    <w:rsid w:val="00B65B32"/>
    <w:rsid w:val="00B856B9"/>
    <w:rsid w:val="00B939B9"/>
    <w:rsid w:val="00BA51F6"/>
    <w:rsid w:val="00BA5FBC"/>
    <w:rsid w:val="00BC5FC2"/>
    <w:rsid w:val="00BD67A9"/>
    <w:rsid w:val="00BE0863"/>
    <w:rsid w:val="00BE61FE"/>
    <w:rsid w:val="00BF38CB"/>
    <w:rsid w:val="00C029BC"/>
    <w:rsid w:val="00C13329"/>
    <w:rsid w:val="00C148D7"/>
    <w:rsid w:val="00C15672"/>
    <w:rsid w:val="00C17E8C"/>
    <w:rsid w:val="00C310A5"/>
    <w:rsid w:val="00C750CC"/>
    <w:rsid w:val="00C85612"/>
    <w:rsid w:val="00CA0109"/>
    <w:rsid w:val="00CA0C0D"/>
    <w:rsid w:val="00CA7C2D"/>
    <w:rsid w:val="00CB24B5"/>
    <w:rsid w:val="00CB2ABE"/>
    <w:rsid w:val="00CB4E41"/>
    <w:rsid w:val="00CD5107"/>
    <w:rsid w:val="00CD5FAA"/>
    <w:rsid w:val="00CD7BE8"/>
    <w:rsid w:val="00CE1010"/>
    <w:rsid w:val="00D25CD6"/>
    <w:rsid w:val="00D26FF3"/>
    <w:rsid w:val="00D275B8"/>
    <w:rsid w:val="00D404E5"/>
    <w:rsid w:val="00D43628"/>
    <w:rsid w:val="00D46FCB"/>
    <w:rsid w:val="00D50E2E"/>
    <w:rsid w:val="00D52657"/>
    <w:rsid w:val="00D612E0"/>
    <w:rsid w:val="00D62510"/>
    <w:rsid w:val="00D7045F"/>
    <w:rsid w:val="00D87E05"/>
    <w:rsid w:val="00D92DDF"/>
    <w:rsid w:val="00D97F9F"/>
    <w:rsid w:val="00DA44DD"/>
    <w:rsid w:val="00DD2640"/>
    <w:rsid w:val="00DD3395"/>
    <w:rsid w:val="00DD578B"/>
    <w:rsid w:val="00DE5B91"/>
    <w:rsid w:val="00DE5E0E"/>
    <w:rsid w:val="00DF1684"/>
    <w:rsid w:val="00E036FB"/>
    <w:rsid w:val="00E17607"/>
    <w:rsid w:val="00E212F0"/>
    <w:rsid w:val="00E46920"/>
    <w:rsid w:val="00E72403"/>
    <w:rsid w:val="00E75E2F"/>
    <w:rsid w:val="00E83E4F"/>
    <w:rsid w:val="00E96D4B"/>
    <w:rsid w:val="00ED3332"/>
    <w:rsid w:val="00EE6ECB"/>
    <w:rsid w:val="00F0176F"/>
    <w:rsid w:val="00F119C1"/>
    <w:rsid w:val="00F135EF"/>
    <w:rsid w:val="00F211AF"/>
    <w:rsid w:val="00F24177"/>
    <w:rsid w:val="00F270CB"/>
    <w:rsid w:val="00F273AD"/>
    <w:rsid w:val="00F4380A"/>
    <w:rsid w:val="00F46EA1"/>
    <w:rsid w:val="00F541A4"/>
    <w:rsid w:val="00F56EDB"/>
    <w:rsid w:val="00F83F44"/>
    <w:rsid w:val="00F86C5B"/>
    <w:rsid w:val="00F9385B"/>
    <w:rsid w:val="00FB66D2"/>
    <w:rsid w:val="00FE3C4A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B4F3"/>
  <w15:docId w15:val="{D5BB0295-B2C3-457F-BC00-7B171EC8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A04"/>
  </w:style>
  <w:style w:type="paragraph" w:styleId="1">
    <w:name w:val="heading 1"/>
    <w:basedOn w:val="a"/>
    <w:link w:val="10"/>
    <w:uiPriority w:val="9"/>
    <w:qFormat/>
    <w:rsid w:val="002E16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6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8F59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9EE"/>
  </w:style>
  <w:style w:type="paragraph" w:styleId="a5">
    <w:name w:val="footer"/>
    <w:basedOn w:val="a"/>
    <w:link w:val="a6"/>
    <w:uiPriority w:val="99"/>
    <w:unhideWhenUsed/>
    <w:rsid w:val="008F59E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9EE"/>
  </w:style>
  <w:style w:type="paragraph" w:styleId="a7">
    <w:name w:val="List Paragraph"/>
    <w:basedOn w:val="a"/>
    <w:uiPriority w:val="34"/>
    <w:qFormat/>
    <w:rsid w:val="008A1A8F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E4DD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E4DD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E4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FAE1-0151-4C61-9944-3A3C3284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4894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4</cp:revision>
  <cp:lastPrinted>2025-02-04T08:00:00Z</cp:lastPrinted>
  <dcterms:created xsi:type="dcterms:W3CDTF">2025-06-10T08:47:00Z</dcterms:created>
  <dcterms:modified xsi:type="dcterms:W3CDTF">2025-06-10T11:50:00Z</dcterms:modified>
</cp:coreProperties>
</file>